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8A298" w14:textId="7C2333C4" w:rsidR="00356E0D" w:rsidRDefault="00592BAC" w:rsidP="00E17EB2">
      <w:pPr>
        <w:pStyle w:val="TOCHeading"/>
        <w:jc w:val="both"/>
        <w:rPr>
          <w:rFonts w:asciiTheme="minorHAnsi" w:eastAsiaTheme="minorHAnsi" w:hAnsiTheme="minorHAnsi" w:cstheme="minorBidi"/>
          <w:color w:val="auto"/>
          <w:sz w:val="22"/>
          <w:szCs w:val="22"/>
          <w:lang w:val="en-GB"/>
        </w:rPr>
        <w:sectPr w:rsidR="00356E0D" w:rsidSect="00BC2770">
          <w:headerReference w:type="default" r:id="rId8"/>
          <w:footerReference w:type="default" r:id="rId9"/>
          <w:pgSz w:w="11906" w:h="16838"/>
          <w:pgMar w:top="1440" w:right="1440" w:bottom="1440" w:left="1440" w:header="708" w:footer="708" w:gutter="0"/>
          <w:pgNumType w:fmt="lowerRoman" w:start="1"/>
          <w:cols w:space="708"/>
          <w:docGrid w:linePitch="360"/>
        </w:sectPr>
      </w:pPr>
      <w:r>
        <w:rPr>
          <w:noProof/>
          <w:lang w:val="en-GB" w:eastAsia="en-GB"/>
        </w:rPr>
        <w:drawing>
          <wp:anchor distT="0" distB="0" distL="114300" distR="114300" simplePos="0" relativeHeight="251664384" behindDoc="0" locked="0" layoutInCell="1" allowOverlap="1" wp14:anchorId="04D13923" wp14:editId="3458A5F2">
            <wp:simplePos x="0" y="0"/>
            <wp:positionH relativeFrom="page">
              <wp:align>left</wp:align>
            </wp:positionH>
            <wp:positionV relativeFrom="page">
              <wp:align>bottom</wp:align>
            </wp:positionV>
            <wp:extent cx="7571740" cy="6464411"/>
            <wp:effectExtent l="0" t="0" r="0" b="0"/>
            <wp:wrapNone/>
            <wp:docPr id="19" name="Picture 19" descr="Free illustrations of Digit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ee illustrations of Digitiz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64644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4561">
        <w:rPr>
          <w:rFonts w:asciiTheme="minorHAnsi" w:eastAsiaTheme="minorHAnsi" w:hAnsiTheme="minorHAnsi" w:cstheme="minorBidi"/>
          <w:noProof/>
          <w:color w:val="auto"/>
          <w:sz w:val="22"/>
          <w:szCs w:val="22"/>
          <w:lang w:val="en-GB" w:eastAsia="en-GB"/>
        </w:rPr>
        <mc:AlternateContent>
          <mc:Choice Requires="wps">
            <w:drawing>
              <wp:anchor distT="0" distB="0" distL="114300" distR="114300" simplePos="0" relativeHeight="251659264" behindDoc="0" locked="0" layoutInCell="1" allowOverlap="1" wp14:anchorId="0B6B9477" wp14:editId="53E179F1">
                <wp:simplePos x="0" y="0"/>
                <wp:positionH relativeFrom="page">
                  <wp:align>right</wp:align>
                </wp:positionH>
                <wp:positionV relativeFrom="paragraph">
                  <wp:posOffset>-955343</wp:posOffset>
                </wp:positionV>
                <wp:extent cx="7902054" cy="1310185"/>
                <wp:effectExtent l="0" t="0" r="22860" b="23495"/>
                <wp:wrapNone/>
                <wp:docPr id="6" name="Rectangle 6"/>
                <wp:cNvGraphicFramePr/>
                <a:graphic xmlns:a="http://schemas.openxmlformats.org/drawingml/2006/main">
                  <a:graphicData uri="http://schemas.microsoft.com/office/word/2010/wordprocessingShape">
                    <wps:wsp>
                      <wps:cNvSpPr/>
                      <wps:spPr>
                        <a:xfrm flipH="1">
                          <a:off x="0" y="0"/>
                          <a:ext cx="7902054" cy="1310185"/>
                        </a:xfrm>
                        <a:prstGeom prst="rect">
                          <a:avLst/>
                        </a:prstGeom>
                        <a:solidFill>
                          <a:srgbClr val="0AB6EC"/>
                        </a:solidFill>
                        <a:ln>
                          <a:solidFill>
                            <a:srgbClr val="005E8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5D3B8" w14:textId="693FC8C3" w:rsidR="00245392" w:rsidRPr="004E4561" w:rsidRDefault="00245392" w:rsidP="004E4561">
                            <w:pPr>
                              <w:jc w:val="right"/>
                              <w:rPr>
                                <w14:textOutline w14:w="9525" w14:cap="rnd" w14:cmpd="sng" w14:algn="ctr">
                                  <w14:solidFill>
                                    <w14:schemeClr w14:val="accent1"/>
                                  </w14:solidFill>
                                  <w14:prstDash w14:val="solid"/>
                                  <w14:bevel/>
                                </w14:textOutline>
                              </w:rPr>
                            </w:pPr>
                            <w:r w:rsidRPr="004E4561">
                              <w:rPr>
                                <w:noProof/>
                                <w:lang w:eastAsia="en-GB"/>
                                <w14:textOutline w14:w="9525" w14:cap="rnd" w14:cmpd="sng" w14:algn="ctr">
                                  <w14:solidFill>
                                    <w14:schemeClr w14:val="accent1"/>
                                  </w14:solidFill>
                                  <w14:prstDash w14:val="solid"/>
                                  <w14:bevel/>
                                </w14:textOutline>
                              </w:rPr>
                              <w:drawing>
                                <wp:inline distT="0" distB="0" distL="0" distR="0" wp14:anchorId="4F05DE45" wp14:editId="027F027B">
                                  <wp:extent cx="1714739" cy="80973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714739" cy="809738"/>
                                          </a:xfrm>
                                          <a:prstGeom prst="rect">
                                            <a:avLst/>
                                          </a:prstGeom>
                                        </pic:spPr>
                                      </pic:pic>
                                    </a:graphicData>
                                  </a:graphic>
                                </wp:inline>
                              </w:drawing>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6B9477" id="Rectangle 6" o:spid="_x0000_s1026" style="position:absolute;left:0;text-align:left;margin-left:571pt;margin-top:-75.2pt;width:622.2pt;height:103.15pt;flip:x;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" fillcolor="#0ab6ec" strokecolor="#005e82" strokeweight="1pt">
                <v:textbox>
                  <w:txbxContent>
                    <w:p w14:paraId="0545D3B8" w14:textId="693FC8C3" w:rsidR="00245392" w:rsidRPr="004E4561" w:rsidRDefault="00245392" w:rsidP="004E4561">
                      <w:pPr>
                        <w:jc w:val="right"/>
                        <w:rPr>
                          <w14:textOutline w14:w="9525" w14:cap="rnd" w14:cmpd="sng" w14:algn="ctr">
                            <w14:solidFill>
                              <w14:schemeClr w14:val="accent1"/>
                            </w14:solidFill>
                            <w14:prstDash w14:val="solid"/>
                            <w14:bevel/>
                          </w14:textOutline>
                        </w:rPr>
                      </w:pPr>
                      <w:r w:rsidRPr="004E4561">
                        <w:rPr>
                          <w:noProof/>
                          <w:lang w:eastAsia="en-GB"/>
                          <w14:textOutline w14:w="9525" w14:cap="rnd" w14:cmpd="sng" w14:algn="ctr">
                            <w14:solidFill>
                              <w14:schemeClr w14:val="accent1"/>
                            </w14:solidFill>
                            <w14:prstDash w14:val="solid"/>
                            <w14:bevel/>
                          </w14:textOutline>
                        </w:rPr>
                        <w:drawing>
                          <wp:inline distT="0" distB="0" distL="0" distR="0" wp14:anchorId="4F05DE45" wp14:editId="027F027B">
                            <wp:extent cx="1714739" cy="80973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png"/>
                                    <pic:cNvPicPr/>
                                  </pic:nvPicPr>
                                  <pic:blipFill>
                                    <a:blip r:embed="rId12">
                                      <a:extLst>
                                        <a:ext uri="{28A0092B-C50C-407E-A947-70E740481C1C}">
                                          <a14:useLocalDpi xmlns:a14="http://schemas.microsoft.com/office/drawing/2010/main" val="0"/>
                                        </a:ext>
                                      </a:extLst>
                                    </a:blip>
                                    <a:stretch>
                                      <a:fillRect/>
                                    </a:stretch>
                                  </pic:blipFill>
                                  <pic:spPr>
                                    <a:xfrm>
                                      <a:off x="0" y="0"/>
                                      <a:ext cx="1714739" cy="809738"/>
                                    </a:xfrm>
                                    <a:prstGeom prst="rect">
                                      <a:avLst/>
                                    </a:prstGeom>
                                  </pic:spPr>
                                </pic:pic>
                              </a:graphicData>
                            </a:graphic>
                          </wp:inline>
                        </w:drawing>
                      </w:r>
                    </w:p>
                  </w:txbxContent>
                </v:textbox>
                <w10:wrap anchorx="page"/>
              </v:rect>
            </w:pict>
          </mc:Fallback>
        </mc:AlternateContent>
      </w:r>
      <w:r w:rsidR="004E4561" w:rsidRPr="00195560">
        <w:rPr>
          <w:noProof/>
          <w:lang w:val="en-GB" w:eastAsia="en-GB"/>
        </w:rPr>
        <mc:AlternateContent>
          <mc:Choice Requires="wps">
            <w:drawing>
              <wp:anchor distT="45720" distB="45720" distL="114300" distR="114300" simplePos="0" relativeHeight="251663360" behindDoc="0" locked="0" layoutInCell="1" allowOverlap="1" wp14:anchorId="586DADB3" wp14:editId="77762459">
                <wp:simplePos x="0" y="0"/>
                <wp:positionH relativeFrom="page">
                  <wp:posOffset>13335</wp:posOffset>
                </wp:positionH>
                <wp:positionV relativeFrom="paragraph">
                  <wp:posOffset>108585</wp:posOffset>
                </wp:positionV>
                <wp:extent cx="7533005" cy="33420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005" cy="3342005"/>
                        </a:xfrm>
                        <a:prstGeom prst="rect">
                          <a:avLst/>
                        </a:prstGeom>
                        <a:solidFill>
                          <a:srgbClr val="0AB6EC"/>
                        </a:solidFill>
                        <a:ln w="9525">
                          <a:noFill/>
                          <a:miter lim="800000"/>
                          <a:headEnd/>
                          <a:tailEnd/>
                        </a:ln>
                      </wps:spPr>
                      <wps:txbx>
                        <w:txbxContent>
                          <w:p w14:paraId="0E24BAF6" w14:textId="5674988E" w:rsidR="00245392" w:rsidRDefault="00245392" w:rsidP="00D84D21">
                            <w:pPr>
                              <w:spacing w:after="0"/>
                              <w:rPr>
                                <w:rFonts w:ascii="Franklin Gothic Demi" w:hAnsi="Franklin Gothic Demi"/>
                                <w:color w:val="FFFFFF" w:themeColor="background1"/>
                                <w:sz w:val="28"/>
                                <w:szCs w:val="28"/>
                              </w:rPr>
                            </w:pPr>
                          </w:p>
                          <w:p w14:paraId="32253248" w14:textId="77777777" w:rsidR="00245392" w:rsidRDefault="00245392" w:rsidP="00D84D21">
                            <w:pPr>
                              <w:rPr>
                                <w:color w:val="FFFFFF" w:themeColor="background1"/>
                                <w:sz w:val="44"/>
                                <w:szCs w:val="44"/>
                              </w:rPr>
                            </w:pPr>
                          </w:p>
                          <w:p w14:paraId="609AE69F" w14:textId="77777777" w:rsidR="00245392" w:rsidRDefault="00245392" w:rsidP="00D84D21">
                            <w:pPr>
                              <w:rPr>
                                <w:rFonts w:ascii="Franklin Gothic Demi" w:hAnsi="Franklin Gothic Demi"/>
                                <w:color w:val="FFFFFF" w:themeColor="background1"/>
                                <w:sz w:val="44"/>
                                <w:szCs w:val="44"/>
                              </w:rPr>
                            </w:pPr>
                          </w:p>
                          <w:p w14:paraId="052E05DE" w14:textId="77777777" w:rsidR="00245392" w:rsidRDefault="00245392" w:rsidP="00D84D21">
                            <w:pPr>
                              <w:rPr>
                                <w:rFonts w:ascii="Franklin Gothic Demi" w:hAnsi="Franklin Gothic Demi"/>
                                <w:color w:val="FFFFFF" w:themeColor="background1"/>
                                <w:sz w:val="44"/>
                                <w:szCs w:val="44"/>
                              </w:rPr>
                            </w:pPr>
                          </w:p>
                          <w:p w14:paraId="5806AF80" w14:textId="79D8AAB0" w:rsidR="00245392" w:rsidRPr="00C953D0" w:rsidRDefault="00245392" w:rsidP="00E17EB2">
                            <w:pPr>
                              <w:jc w:val="center"/>
                              <w:rPr>
                                <w:rFonts w:ascii="Franklin Gothic Demi" w:hAnsi="Franklin Gothic Demi"/>
                                <w:color w:val="FFFFFF" w:themeColor="background1"/>
                                <w:sz w:val="44"/>
                                <w:szCs w:val="44"/>
                              </w:rPr>
                            </w:pPr>
                            <w:r>
                              <w:rPr>
                                <w:rFonts w:ascii="Franklin Gothic Demi" w:hAnsi="Franklin Gothic Demi"/>
                                <w:color w:val="FFFFFF" w:themeColor="background1"/>
                                <w:sz w:val="44"/>
                                <w:szCs w:val="44"/>
                              </w:rPr>
                              <w:t>Researcher guidance for the EHR Research and Innovation (ERIN) Database</w:t>
                            </w:r>
                          </w:p>
                          <w:p w14:paraId="138795F2" w14:textId="77777777" w:rsidR="00245392" w:rsidRDefault="00245392" w:rsidP="00D84D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6DADB3" id="_x0000_t202" coordsize="21600,21600" o:spt="202" path="m,l,21600r21600,l21600,xe">
                <v:stroke joinstyle="miter"/>
                <v:path gradientshapeok="t" o:connecttype="rect"/>
              </v:shapetype>
              <v:shape id="Text Box 2" o:spid="_x0000_s1027" type="#_x0000_t202" style="position:absolute;left:0;text-align:left;margin-left:1.05pt;margin-top:8.55pt;width:593.15pt;height:263.1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" fillcolor="#0ab6ec" stroked="f">
                <v:textbox>
                  <w:txbxContent>
                    <w:p w14:paraId="0E24BAF6" w14:textId="5674988E" w:rsidR="00245392" w:rsidRDefault="00245392" w:rsidP="00D84D21">
                      <w:pPr>
                        <w:spacing w:after="0"/>
                        <w:rPr>
                          <w:rFonts w:ascii="Franklin Gothic Demi" w:hAnsi="Franklin Gothic Demi"/>
                          <w:color w:val="FFFFFF" w:themeColor="background1"/>
                          <w:sz w:val="28"/>
                          <w:szCs w:val="28"/>
                        </w:rPr>
                      </w:pPr>
                    </w:p>
                    <w:p w14:paraId="32253248" w14:textId="77777777" w:rsidR="00245392" w:rsidRDefault="00245392" w:rsidP="00D84D21">
                      <w:pPr>
                        <w:rPr>
                          <w:color w:val="FFFFFF" w:themeColor="background1"/>
                          <w:sz w:val="44"/>
                          <w:szCs w:val="44"/>
                        </w:rPr>
                      </w:pPr>
                    </w:p>
                    <w:p w14:paraId="609AE69F" w14:textId="77777777" w:rsidR="00245392" w:rsidRDefault="00245392" w:rsidP="00D84D21">
                      <w:pPr>
                        <w:rPr>
                          <w:rFonts w:ascii="Franklin Gothic Demi" w:hAnsi="Franklin Gothic Demi"/>
                          <w:color w:val="FFFFFF" w:themeColor="background1"/>
                          <w:sz w:val="44"/>
                          <w:szCs w:val="44"/>
                        </w:rPr>
                      </w:pPr>
                    </w:p>
                    <w:p w14:paraId="052E05DE" w14:textId="77777777" w:rsidR="00245392" w:rsidRDefault="00245392" w:rsidP="00D84D21">
                      <w:pPr>
                        <w:rPr>
                          <w:rFonts w:ascii="Franklin Gothic Demi" w:hAnsi="Franklin Gothic Demi"/>
                          <w:color w:val="FFFFFF" w:themeColor="background1"/>
                          <w:sz w:val="44"/>
                          <w:szCs w:val="44"/>
                        </w:rPr>
                      </w:pPr>
                    </w:p>
                    <w:p w14:paraId="5806AF80" w14:textId="79D8AAB0" w:rsidR="00245392" w:rsidRPr="00C953D0" w:rsidRDefault="00245392" w:rsidP="00E17EB2">
                      <w:pPr>
                        <w:jc w:val="center"/>
                        <w:rPr>
                          <w:rFonts w:ascii="Franklin Gothic Demi" w:hAnsi="Franklin Gothic Demi"/>
                          <w:color w:val="FFFFFF" w:themeColor="background1"/>
                          <w:sz w:val="44"/>
                          <w:szCs w:val="44"/>
                        </w:rPr>
                      </w:pPr>
                      <w:r>
                        <w:rPr>
                          <w:rFonts w:ascii="Franklin Gothic Demi" w:hAnsi="Franklin Gothic Demi"/>
                          <w:color w:val="FFFFFF" w:themeColor="background1"/>
                          <w:sz w:val="44"/>
                          <w:szCs w:val="44"/>
                        </w:rPr>
                        <w:t>Researcher guidance for the EHR Research and Innovation (ERIN) Database</w:t>
                      </w:r>
                    </w:p>
                    <w:p w14:paraId="138795F2" w14:textId="77777777" w:rsidR="00245392" w:rsidRDefault="00245392" w:rsidP="00D84D21"/>
                  </w:txbxContent>
                </v:textbox>
                <w10:wrap type="square" anchorx="page"/>
              </v:shape>
            </w:pict>
          </mc:Fallback>
        </mc:AlternateContent>
      </w:r>
    </w:p>
    <w:p w14:paraId="54E2460A" w14:textId="1155A146" w:rsidR="00592BAC" w:rsidRPr="00592BAC" w:rsidRDefault="00592BAC" w:rsidP="00E17EB2">
      <w:pPr>
        <w:pStyle w:val="TOCHeading"/>
        <w:jc w:val="both"/>
        <w:rPr>
          <w:rFonts w:asciiTheme="minorHAnsi" w:eastAsiaTheme="minorHAnsi" w:hAnsiTheme="minorHAnsi" w:cstheme="minorBidi"/>
          <w:color w:val="auto"/>
          <w:sz w:val="22"/>
          <w:szCs w:val="22"/>
          <w:lang w:val="en-GB"/>
        </w:rPr>
      </w:pPr>
    </w:p>
    <w:p w14:paraId="24A7886E" w14:textId="77777777" w:rsidR="00592BAC" w:rsidRPr="007C23AD" w:rsidRDefault="00592BAC" w:rsidP="00E17EB2">
      <w:pPr>
        <w:jc w:val="both"/>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344"/>
        <w:gridCol w:w="2151"/>
        <w:gridCol w:w="2642"/>
      </w:tblGrid>
      <w:tr w:rsidR="00592BAC" w:rsidRPr="007C23AD" w14:paraId="0806F53F" w14:textId="77777777" w:rsidTr="009323DB">
        <w:trPr>
          <w:cantSplit/>
          <w:trHeight w:val="340"/>
          <w:tblHeader/>
          <w:jc w:val="center"/>
        </w:trPr>
        <w:tc>
          <w:tcPr>
            <w:tcW w:w="1042" w:type="pct"/>
            <w:tcBorders>
              <w:top w:val="single" w:sz="4" w:space="0" w:color="005E82"/>
              <w:left w:val="single" w:sz="4" w:space="0" w:color="005E82"/>
              <w:bottom w:val="single" w:sz="4" w:space="0" w:color="005E82"/>
              <w:right w:val="nil"/>
            </w:tcBorders>
            <w:shd w:val="clear" w:color="auto" w:fill="0AB6EC"/>
            <w:vAlign w:val="center"/>
          </w:tcPr>
          <w:p w14:paraId="4A299BB5" w14:textId="77777777" w:rsidR="00592BAC" w:rsidRPr="009323DB" w:rsidRDefault="00592BAC">
            <w:pPr>
              <w:pStyle w:val="table"/>
              <w:spacing w:before="20" w:after="120"/>
              <w:contextualSpacing w:val="0"/>
              <w:rPr>
                <w:rFonts w:ascii="Franklin Gothic Book" w:hAnsi="Franklin Gothic Book"/>
                <w:color w:val="FFFFFF" w:themeColor="background1"/>
              </w:rPr>
            </w:pPr>
            <w:r w:rsidRPr="009323DB">
              <w:rPr>
                <w:rFonts w:ascii="Franklin Gothic Book" w:hAnsi="Franklin Gothic Book"/>
                <w:color w:val="FFFFFF" w:themeColor="background1"/>
              </w:rPr>
              <w:t>Version control</w:t>
            </w:r>
          </w:p>
        </w:tc>
        <w:tc>
          <w:tcPr>
            <w:tcW w:w="1300" w:type="pct"/>
            <w:tcBorders>
              <w:top w:val="single" w:sz="4" w:space="0" w:color="005E82"/>
              <w:left w:val="nil"/>
              <w:bottom w:val="single" w:sz="4" w:space="0" w:color="005E82"/>
              <w:right w:val="nil"/>
            </w:tcBorders>
            <w:shd w:val="clear" w:color="auto" w:fill="0AB6EC"/>
            <w:vAlign w:val="center"/>
          </w:tcPr>
          <w:p w14:paraId="39474DFD" w14:textId="77777777" w:rsidR="00592BAC" w:rsidRPr="009323DB" w:rsidRDefault="00592BAC">
            <w:pPr>
              <w:pStyle w:val="table"/>
              <w:spacing w:before="20" w:after="120"/>
              <w:contextualSpacing w:val="0"/>
              <w:rPr>
                <w:rFonts w:ascii="Franklin Gothic Book" w:hAnsi="Franklin Gothic Book"/>
                <w:color w:val="FFFFFF" w:themeColor="background1"/>
              </w:rPr>
            </w:pPr>
          </w:p>
        </w:tc>
        <w:tc>
          <w:tcPr>
            <w:tcW w:w="1193" w:type="pct"/>
            <w:tcBorders>
              <w:top w:val="single" w:sz="4" w:space="0" w:color="005E82"/>
              <w:left w:val="nil"/>
              <w:bottom w:val="single" w:sz="4" w:space="0" w:color="005E82"/>
              <w:right w:val="nil"/>
            </w:tcBorders>
            <w:shd w:val="clear" w:color="auto" w:fill="0AB6EC"/>
            <w:vAlign w:val="center"/>
          </w:tcPr>
          <w:p w14:paraId="7F87B793" w14:textId="77777777" w:rsidR="00592BAC" w:rsidRPr="009323DB" w:rsidRDefault="00592BAC">
            <w:pPr>
              <w:pStyle w:val="table"/>
              <w:spacing w:before="20" w:after="120"/>
              <w:contextualSpacing w:val="0"/>
              <w:rPr>
                <w:rFonts w:ascii="Franklin Gothic Book" w:hAnsi="Franklin Gothic Book"/>
                <w:color w:val="FFFFFF" w:themeColor="background1"/>
              </w:rPr>
            </w:pPr>
          </w:p>
        </w:tc>
        <w:tc>
          <w:tcPr>
            <w:tcW w:w="1465" w:type="pct"/>
            <w:tcBorders>
              <w:top w:val="single" w:sz="4" w:space="0" w:color="005E82"/>
              <w:left w:val="nil"/>
              <w:bottom w:val="single" w:sz="4" w:space="0" w:color="005E82"/>
              <w:right w:val="single" w:sz="4" w:space="0" w:color="005E82"/>
            </w:tcBorders>
            <w:shd w:val="clear" w:color="auto" w:fill="0AB6EC"/>
            <w:vAlign w:val="center"/>
          </w:tcPr>
          <w:p w14:paraId="149A8C59" w14:textId="77777777" w:rsidR="00592BAC" w:rsidRPr="009323DB" w:rsidRDefault="00592BAC">
            <w:pPr>
              <w:pStyle w:val="table"/>
              <w:spacing w:before="20" w:after="120"/>
              <w:contextualSpacing w:val="0"/>
              <w:rPr>
                <w:rFonts w:ascii="Franklin Gothic Book" w:hAnsi="Franklin Gothic Book"/>
                <w:color w:val="FFFFFF" w:themeColor="background1"/>
              </w:rPr>
            </w:pPr>
          </w:p>
        </w:tc>
      </w:tr>
      <w:tr w:rsidR="00592BAC" w:rsidRPr="007C23AD" w14:paraId="6084501C" w14:textId="77777777" w:rsidTr="00592BAC">
        <w:trPr>
          <w:cantSplit/>
          <w:trHeight w:val="340"/>
          <w:tblHeader/>
          <w:jc w:val="center"/>
        </w:trPr>
        <w:tc>
          <w:tcPr>
            <w:tcW w:w="1042" w:type="pct"/>
            <w:tcBorders>
              <w:top w:val="single" w:sz="4" w:space="0" w:color="005E82"/>
              <w:left w:val="single" w:sz="4" w:space="0" w:color="005E82"/>
              <w:bottom w:val="single" w:sz="4" w:space="0" w:color="005E82"/>
              <w:right w:val="nil"/>
            </w:tcBorders>
            <w:vAlign w:val="center"/>
          </w:tcPr>
          <w:p w14:paraId="0DFB2D3C" w14:textId="77777777" w:rsidR="00592BAC" w:rsidRPr="00916CBE" w:rsidRDefault="00592BAC">
            <w:pPr>
              <w:pStyle w:val="table"/>
              <w:spacing w:before="20" w:after="120"/>
              <w:contextualSpacing w:val="0"/>
              <w:rPr>
                <w:rFonts w:ascii="Franklin Gothic Book" w:hAnsi="Franklin Gothic Book"/>
              </w:rPr>
            </w:pPr>
            <w:r w:rsidRPr="00916CBE">
              <w:rPr>
                <w:rFonts w:ascii="Franklin Gothic Book" w:hAnsi="Franklin Gothic Book"/>
              </w:rPr>
              <w:t>Version</w:t>
            </w:r>
          </w:p>
        </w:tc>
        <w:tc>
          <w:tcPr>
            <w:tcW w:w="1300" w:type="pct"/>
            <w:tcBorders>
              <w:top w:val="single" w:sz="4" w:space="0" w:color="005E82"/>
              <w:left w:val="nil"/>
              <w:bottom w:val="single" w:sz="4" w:space="0" w:color="005E82"/>
              <w:right w:val="nil"/>
            </w:tcBorders>
            <w:vAlign w:val="center"/>
          </w:tcPr>
          <w:p w14:paraId="780304E0" w14:textId="77777777" w:rsidR="00592BAC" w:rsidRPr="00916CBE" w:rsidRDefault="00592BAC">
            <w:pPr>
              <w:pStyle w:val="table"/>
              <w:spacing w:before="20" w:after="120"/>
              <w:contextualSpacing w:val="0"/>
              <w:rPr>
                <w:rFonts w:ascii="Franklin Gothic Book" w:hAnsi="Franklin Gothic Book"/>
              </w:rPr>
            </w:pPr>
            <w:r w:rsidRPr="00916CBE">
              <w:rPr>
                <w:rFonts w:ascii="Franklin Gothic Book" w:hAnsi="Franklin Gothic Book"/>
              </w:rPr>
              <w:t>Amendment date</w:t>
            </w:r>
          </w:p>
        </w:tc>
        <w:tc>
          <w:tcPr>
            <w:tcW w:w="1193" w:type="pct"/>
            <w:tcBorders>
              <w:top w:val="single" w:sz="4" w:space="0" w:color="005E82"/>
              <w:left w:val="nil"/>
              <w:bottom w:val="single" w:sz="4" w:space="0" w:color="005E82"/>
              <w:right w:val="nil"/>
            </w:tcBorders>
            <w:vAlign w:val="center"/>
          </w:tcPr>
          <w:p w14:paraId="26DEFA6A" w14:textId="77777777" w:rsidR="00592BAC" w:rsidRPr="00916CBE" w:rsidRDefault="00592BAC">
            <w:pPr>
              <w:pStyle w:val="table"/>
              <w:spacing w:before="20" w:after="120"/>
              <w:contextualSpacing w:val="0"/>
              <w:rPr>
                <w:rFonts w:ascii="Franklin Gothic Book" w:hAnsi="Franklin Gothic Book"/>
              </w:rPr>
            </w:pPr>
            <w:r w:rsidRPr="00916CBE">
              <w:rPr>
                <w:rFonts w:ascii="Franklin Gothic Book" w:hAnsi="Franklin Gothic Book"/>
              </w:rPr>
              <w:t xml:space="preserve">Amended by </w:t>
            </w:r>
          </w:p>
        </w:tc>
        <w:tc>
          <w:tcPr>
            <w:tcW w:w="1465" w:type="pct"/>
            <w:tcBorders>
              <w:top w:val="single" w:sz="4" w:space="0" w:color="005E82"/>
              <w:left w:val="nil"/>
              <w:bottom w:val="single" w:sz="4" w:space="0" w:color="005E82"/>
              <w:right w:val="single" w:sz="4" w:space="0" w:color="005E82"/>
            </w:tcBorders>
            <w:vAlign w:val="center"/>
          </w:tcPr>
          <w:p w14:paraId="533983DB" w14:textId="77777777" w:rsidR="00592BAC" w:rsidRPr="00916CBE" w:rsidRDefault="00592BAC">
            <w:pPr>
              <w:pStyle w:val="table"/>
              <w:spacing w:before="20" w:after="120"/>
              <w:contextualSpacing w:val="0"/>
              <w:rPr>
                <w:rFonts w:ascii="Franklin Gothic Book" w:hAnsi="Franklin Gothic Book"/>
              </w:rPr>
            </w:pPr>
            <w:r w:rsidRPr="00916CBE">
              <w:rPr>
                <w:rFonts w:ascii="Franklin Gothic Book" w:hAnsi="Franklin Gothic Book"/>
              </w:rPr>
              <w:t>Remarks</w:t>
            </w:r>
          </w:p>
        </w:tc>
      </w:tr>
      <w:tr w:rsidR="00592BAC" w:rsidRPr="007C23AD" w14:paraId="20FE2951" w14:textId="77777777" w:rsidTr="00592BAC">
        <w:trPr>
          <w:cantSplit/>
          <w:trHeight w:val="340"/>
          <w:jc w:val="center"/>
        </w:trPr>
        <w:tc>
          <w:tcPr>
            <w:tcW w:w="1042" w:type="pct"/>
            <w:tcBorders>
              <w:top w:val="single" w:sz="4" w:space="0" w:color="005E82"/>
              <w:left w:val="single" w:sz="4" w:space="0" w:color="005E82"/>
              <w:bottom w:val="single" w:sz="4" w:space="0" w:color="005E82"/>
              <w:right w:val="nil"/>
            </w:tcBorders>
            <w:vAlign w:val="center"/>
          </w:tcPr>
          <w:p w14:paraId="4F021D0F" w14:textId="732DE085" w:rsidR="00592BAC" w:rsidRPr="00916CBE" w:rsidRDefault="00943C36" w:rsidP="00E17EB2">
            <w:pPr>
              <w:pStyle w:val="table"/>
              <w:spacing w:before="20" w:after="120"/>
              <w:contextualSpacing w:val="0"/>
              <w:rPr>
                <w:rFonts w:ascii="Franklin Gothic Book" w:hAnsi="Franklin Gothic Book"/>
              </w:rPr>
            </w:pPr>
            <w:r>
              <w:rPr>
                <w:rFonts w:ascii="Franklin Gothic Book" w:hAnsi="Franklin Gothic Book"/>
              </w:rPr>
              <w:t>0.4</w:t>
            </w:r>
          </w:p>
        </w:tc>
        <w:tc>
          <w:tcPr>
            <w:tcW w:w="1300" w:type="pct"/>
            <w:tcBorders>
              <w:top w:val="single" w:sz="4" w:space="0" w:color="005E82"/>
              <w:left w:val="nil"/>
              <w:bottom w:val="single" w:sz="4" w:space="0" w:color="005E82"/>
              <w:right w:val="nil"/>
            </w:tcBorders>
            <w:vAlign w:val="center"/>
          </w:tcPr>
          <w:p w14:paraId="1F21AEF4" w14:textId="0FC31F67" w:rsidR="00592BAC" w:rsidRPr="00916CBE" w:rsidRDefault="00F03C1D" w:rsidP="00E17EB2">
            <w:pPr>
              <w:pStyle w:val="table"/>
              <w:spacing w:before="20" w:after="120"/>
              <w:contextualSpacing w:val="0"/>
              <w:rPr>
                <w:rFonts w:ascii="Franklin Gothic Book" w:hAnsi="Franklin Gothic Book"/>
              </w:rPr>
            </w:pPr>
            <w:r>
              <w:rPr>
                <w:rFonts w:ascii="Franklin Gothic Book" w:hAnsi="Franklin Gothic Book"/>
              </w:rPr>
              <w:t>20/04/2023</w:t>
            </w:r>
          </w:p>
        </w:tc>
        <w:tc>
          <w:tcPr>
            <w:tcW w:w="1193" w:type="pct"/>
            <w:tcBorders>
              <w:top w:val="single" w:sz="4" w:space="0" w:color="005E82"/>
              <w:left w:val="nil"/>
              <w:bottom w:val="single" w:sz="4" w:space="0" w:color="005E82"/>
              <w:right w:val="nil"/>
            </w:tcBorders>
            <w:vAlign w:val="center"/>
          </w:tcPr>
          <w:p w14:paraId="6A418CB2" w14:textId="6BE87FF0" w:rsidR="00592BAC" w:rsidRPr="00916CBE" w:rsidRDefault="00F03C1D" w:rsidP="00E17EB2">
            <w:pPr>
              <w:pStyle w:val="table"/>
              <w:spacing w:before="20" w:after="120"/>
              <w:contextualSpacing w:val="0"/>
              <w:rPr>
                <w:rFonts w:ascii="Franklin Gothic Book" w:hAnsi="Franklin Gothic Book"/>
              </w:rPr>
            </w:pPr>
            <w:r>
              <w:rPr>
                <w:rFonts w:ascii="Franklin Gothic Book" w:hAnsi="Franklin Gothic Book"/>
              </w:rPr>
              <w:t>Adam Loveday</w:t>
            </w:r>
          </w:p>
        </w:tc>
        <w:tc>
          <w:tcPr>
            <w:tcW w:w="1465" w:type="pct"/>
            <w:tcBorders>
              <w:top w:val="single" w:sz="4" w:space="0" w:color="005E82"/>
              <w:left w:val="nil"/>
              <w:bottom w:val="single" w:sz="4" w:space="0" w:color="005E82"/>
              <w:right w:val="single" w:sz="4" w:space="0" w:color="005E82"/>
            </w:tcBorders>
            <w:vAlign w:val="center"/>
          </w:tcPr>
          <w:p w14:paraId="6FBF827F" w14:textId="77777777" w:rsidR="00592BAC" w:rsidRPr="00916CBE" w:rsidRDefault="00592BAC" w:rsidP="00E17EB2">
            <w:pPr>
              <w:pStyle w:val="table"/>
              <w:spacing w:before="20" w:after="120"/>
              <w:contextualSpacing w:val="0"/>
              <w:rPr>
                <w:rFonts w:ascii="Franklin Gothic Book" w:hAnsi="Franklin Gothic Book"/>
              </w:rPr>
            </w:pPr>
            <w:r w:rsidRPr="00916CBE">
              <w:rPr>
                <w:rFonts w:ascii="Franklin Gothic Book" w:hAnsi="Franklin Gothic Book"/>
              </w:rPr>
              <w:t>Original Issue</w:t>
            </w:r>
          </w:p>
        </w:tc>
      </w:tr>
      <w:tr w:rsidR="00F03C1D" w:rsidRPr="007C23AD" w14:paraId="250D7C3E" w14:textId="77777777" w:rsidTr="00592BAC">
        <w:trPr>
          <w:cantSplit/>
          <w:trHeight w:val="340"/>
          <w:jc w:val="center"/>
        </w:trPr>
        <w:tc>
          <w:tcPr>
            <w:tcW w:w="1042" w:type="pct"/>
            <w:tcBorders>
              <w:top w:val="single" w:sz="4" w:space="0" w:color="005E82"/>
              <w:left w:val="single" w:sz="4" w:space="0" w:color="005E82"/>
              <w:bottom w:val="single" w:sz="4" w:space="0" w:color="005E82"/>
              <w:right w:val="nil"/>
            </w:tcBorders>
            <w:vAlign w:val="center"/>
          </w:tcPr>
          <w:p w14:paraId="254602CC" w14:textId="49DC98CE" w:rsidR="00F03C1D" w:rsidRDefault="00F03C1D" w:rsidP="00E17EB2">
            <w:pPr>
              <w:pStyle w:val="table"/>
              <w:spacing w:before="20" w:after="120"/>
              <w:contextualSpacing w:val="0"/>
              <w:rPr>
                <w:rFonts w:ascii="Franklin Gothic Book" w:hAnsi="Franklin Gothic Book"/>
              </w:rPr>
            </w:pPr>
            <w:r>
              <w:rPr>
                <w:rFonts w:ascii="Franklin Gothic Book" w:hAnsi="Franklin Gothic Book"/>
              </w:rPr>
              <w:t>0.5</w:t>
            </w:r>
          </w:p>
        </w:tc>
        <w:tc>
          <w:tcPr>
            <w:tcW w:w="1300" w:type="pct"/>
            <w:tcBorders>
              <w:top w:val="single" w:sz="4" w:space="0" w:color="005E82"/>
              <w:left w:val="nil"/>
              <w:bottom w:val="single" w:sz="4" w:space="0" w:color="005E82"/>
              <w:right w:val="nil"/>
            </w:tcBorders>
            <w:vAlign w:val="center"/>
          </w:tcPr>
          <w:p w14:paraId="09E6183D" w14:textId="581F35EC" w:rsidR="00F03C1D" w:rsidRDefault="00F03C1D" w:rsidP="00E17EB2">
            <w:pPr>
              <w:pStyle w:val="table"/>
              <w:spacing w:before="20" w:after="120"/>
              <w:contextualSpacing w:val="0"/>
              <w:rPr>
                <w:rFonts w:ascii="Franklin Gothic Book" w:hAnsi="Franklin Gothic Book"/>
              </w:rPr>
            </w:pPr>
            <w:r>
              <w:rPr>
                <w:rFonts w:ascii="Franklin Gothic Book" w:hAnsi="Franklin Gothic Book"/>
              </w:rPr>
              <w:t>15/11/2023</w:t>
            </w:r>
          </w:p>
        </w:tc>
        <w:tc>
          <w:tcPr>
            <w:tcW w:w="1193" w:type="pct"/>
            <w:tcBorders>
              <w:top w:val="single" w:sz="4" w:space="0" w:color="005E82"/>
              <w:left w:val="nil"/>
              <w:bottom w:val="single" w:sz="4" w:space="0" w:color="005E82"/>
              <w:right w:val="nil"/>
            </w:tcBorders>
            <w:vAlign w:val="center"/>
          </w:tcPr>
          <w:p w14:paraId="5B3CA49D" w14:textId="5DFDD34C" w:rsidR="00F03C1D" w:rsidRDefault="00F03C1D" w:rsidP="00E17EB2">
            <w:pPr>
              <w:pStyle w:val="table"/>
              <w:spacing w:before="20" w:after="120"/>
              <w:contextualSpacing w:val="0"/>
              <w:rPr>
                <w:rFonts w:ascii="Franklin Gothic Book" w:hAnsi="Franklin Gothic Book"/>
              </w:rPr>
            </w:pPr>
            <w:r>
              <w:rPr>
                <w:rFonts w:ascii="Franklin Gothic Book" w:hAnsi="Franklin Gothic Book"/>
              </w:rPr>
              <w:t>Adam Loveday</w:t>
            </w:r>
          </w:p>
        </w:tc>
        <w:tc>
          <w:tcPr>
            <w:tcW w:w="1465" w:type="pct"/>
            <w:tcBorders>
              <w:top w:val="single" w:sz="4" w:space="0" w:color="005E82"/>
              <w:left w:val="nil"/>
              <w:bottom w:val="single" w:sz="4" w:space="0" w:color="005E82"/>
              <w:right w:val="single" w:sz="4" w:space="0" w:color="005E82"/>
            </w:tcBorders>
            <w:vAlign w:val="center"/>
          </w:tcPr>
          <w:p w14:paraId="40840DAD" w14:textId="68DA64B1" w:rsidR="00F03C1D" w:rsidRPr="00916CBE" w:rsidRDefault="00F03C1D" w:rsidP="00E17EB2">
            <w:pPr>
              <w:pStyle w:val="table"/>
              <w:spacing w:before="20" w:after="120"/>
              <w:contextualSpacing w:val="0"/>
              <w:rPr>
                <w:rFonts w:ascii="Franklin Gothic Book" w:hAnsi="Franklin Gothic Book"/>
              </w:rPr>
            </w:pPr>
            <w:r>
              <w:rPr>
                <w:rFonts w:ascii="Franklin Gothic Book" w:hAnsi="Franklin Gothic Book"/>
              </w:rPr>
              <w:t>Additions</w:t>
            </w:r>
          </w:p>
        </w:tc>
      </w:tr>
      <w:tr w:rsidR="00F03C1D" w:rsidRPr="007C23AD" w14:paraId="021F71C8" w14:textId="77777777" w:rsidTr="00592BAC">
        <w:trPr>
          <w:cantSplit/>
          <w:trHeight w:val="340"/>
          <w:jc w:val="center"/>
        </w:trPr>
        <w:tc>
          <w:tcPr>
            <w:tcW w:w="1042" w:type="pct"/>
            <w:tcBorders>
              <w:top w:val="single" w:sz="4" w:space="0" w:color="005E82"/>
              <w:left w:val="single" w:sz="4" w:space="0" w:color="005E82"/>
              <w:bottom w:val="single" w:sz="4" w:space="0" w:color="005E82"/>
              <w:right w:val="nil"/>
            </w:tcBorders>
            <w:vAlign w:val="center"/>
          </w:tcPr>
          <w:p w14:paraId="71D09A1A" w14:textId="6A57587C" w:rsidR="00F03C1D" w:rsidRPr="00455374" w:rsidRDefault="0003478A" w:rsidP="00E17EB2">
            <w:pPr>
              <w:pStyle w:val="table"/>
              <w:spacing w:before="20" w:after="120"/>
              <w:contextualSpacing w:val="0"/>
              <w:rPr>
                <w:rFonts w:ascii="Franklin Gothic Book" w:hAnsi="Franklin Gothic Book"/>
                <w:highlight w:val="yellow"/>
              </w:rPr>
            </w:pPr>
            <w:r>
              <w:rPr>
                <w:rFonts w:ascii="Franklin Gothic Book" w:hAnsi="Franklin Gothic Book"/>
                <w:highlight w:val="yellow"/>
              </w:rPr>
              <w:t>1.0</w:t>
            </w:r>
          </w:p>
        </w:tc>
        <w:tc>
          <w:tcPr>
            <w:tcW w:w="1300" w:type="pct"/>
            <w:tcBorders>
              <w:top w:val="single" w:sz="4" w:space="0" w:color="005E82"/>
              <w:left w:val="nil"/>
              <w:bottom w:val="single" w:sz="4" w:space="0" w:color="005E82"/>
              <w:right w:val="nil"/>
            </w:tcBorders>
            <w:vAlign w:val="center"/>
          </w:tcPr>
          <w:p w14:paraId="6AB4CE0E" w14:textId="33EA8861" w:rsidR="00F03C1D" w:rsidRPr="00455374" w:rsidRDefault="0003478A" w:rsidP="00E17EB2">
            <w:pPr>
              <w:pStyle w:val="table"/>
              <w:spacing w:before="20" w:after="120"/>
              <w:contextualSpacing w:val="0"/>
              <w:rPr>
                <w:rFonts w:ascii="Franklin Gothic Book" w:hAnsi="Franklin Gothic Book"/>
                <w:highlight w:val="yellow"/>
              </w:rPr>
            </w:pPr>
            <w:r>
              <w:rPr>
                <w:rFonts w:ascii="Franklin Gothic Book" w:hAnsi="Franklin Gothic Book"/>
                <w:highlight w:val="yellow"/>
              </w:rPr>
              <w:t>21/07/2025</w:t>
            </w:r>
          </w:p>
        </w:tc>
        <w:tc>
          <w:tcPr>
            <w:tcW w:w="1193" w:type="pct"/>
            <w:tcBorders>
              <w:top w:val="single" w:sz="4" w:space="0" w:color="005E82"/>
              <w:left w:val="nil"/>
              <w:bottom w:val="single" w:sz="4" w:space="0" w:color="005E82"/>
              <w:right w:val="nil"/>
            </w:tcBorders>
            <w:vAlign w:val="center"/>
          </w:tcPr>
          <w:p w14:paraId="3551DD9B" w14:textId="60A1290B" w:rsidR="00F03C1D" w:rsidRPr="00455374" w:rsidRDefault="002F0BB6" w:rsidP="00E17EB2">
            <w:pPr>
              <w:pStyle w:val="table"/>
              <w:spacing w:before="20" w:after="120"/>
              <w:contextualSpacing w:val="0"/>
              <w:rPr>
                <w:rFonts w:ascii="Franklin Gothic Book" w:hAnsi="Franklin Gothic Book"/>
                <w:highlight w:val="yellow"/>
              </w:rPr>
            </w:pPr>
            <w:r w:rsidRPr="00455374">
              <w:rPr>
                <w:rFonts w:ascii="Franklin Gothic Book" w:hAnsi="Franklin Gothic Book"/>
                <w:highlight w:val="yellow"/>
              </w:rPr>
              <w:t>Darija Titarenko</w:t>
            </w:r>
          </w:p>
        </w:tc>
        <w:tc>
          <w:tcPr>
            <w:tcW w:w="1465" w:type="pct"/>
            <w:tcBorders>
              <w:top w:val="single" w:sz="4" w:space="0" w:color="005E82"/>
              <w:left w:val="nil"/>
              <w:bottom w:val="single" w:sz="4" w:space="0" w:color="005E82"/>
              <w:right w:val="single" w:sz="4" w:space="0" w:color="005E82"/>
            </w:tcBorders>
            <w:vAlign w:val="center"/>
          </w:tcPr>
          <w:p w14:paraId="20AF5A14" w14:textId="477ECA54" w:rsidR="00F03C1D" w:rsidRDefault="0003478A" w:rsidP="00E17EB2">
            <w:pPr>
              <w:pStyle w:val="table"/>
              <w:spacing w:before="20" w:after="120"/>
              <w:contextualSpacing w:val="0"/>
              <w:rPr>
                <w:rFonts w:ascii="Franklin Gothic Book" w:hAnsi="Franklin Gothic Book"/>
              </w:rPr>
            </w:pPr>
            <w:r>
              <w:rPr>
                <w:rFonts w:ascii="Franklin Gothic Book" w:hAnsi="Franklin Gothic Book"/>
                <w:highlight w:val="yellow"/>
              </w:rPr>
              <w:t>Whole document revision</w:t>
            </w:r>
          </w:p>
        </w:tc>
      </w:tr>
    </w:tbl>
    <w:p w14:paraId="7914CD85" w14:textId="77777777" w:rsidR="00592BAC" w:rsidRPr="007C23AD" w:rsidRDefault="00592BAC" w:rsidP="00E17EB2">
      <w:pPr>
        <w:jc w:val="both"/>
        <w:rPr>
          <w:szCs w:val="20"/>
        </w:rPr>
      </w:pPr>
    </w:p>
    <w:p w14:paraId="410838BA" w14:textId="63F2F5F7" w:rsidR="00D84D21" w:rsidRPr="004E4561" w:rsidRDefault="00592BAC" w:rsidP="00E17EB2">
      <w:pPr>
        <w:jc w:val="both"/>
      </w:pPr>
      <w:r>
        <w:br w:type="page"/>
      </w:r>
    </w:p>
    <w:sdt>
      <w:sdtPr>
        <w:rPr>
          <w:rFonts w:asciiTheme="minorHAnsi" w:eastAsiaTheme="minorHAnsi" w:hAnsiTheme="minorHAnsi" w:cstheme="minorBidi"/>
          <w:color w:val="auto"/>
          <w:sz w:val="22"/>
          <w:szCs w:val="22"/>
          <w:lang w:val="en-GB"/>
        </w:rPr>
        <w:id w:val="421610655"/>
        <w:docPartObj>
          <w:docPartGallery w:val="Table of Contents"/>
          <w:docPartUnique/>
        </w:docPartObj>
      </w:sdtPr>
      <w:sdtEndPr>
        <w:rPr>
          <w:b/>
          <w:bCs/>
          <w:noProof/>
        </w:rPr>
      </w:sdtEndPr>
      <w:sdtContent>
        <w:p w14:paraId="004114BA" w14:textId="77777777" w:rsidR="00E83E7C" w:rsidRPr="00455374" w:rsidRDefault="00E83E7C" w:rsidP="00E17EB2">
          <w:pPr>
            <w:pStyle w:val="TOCHeading"/>
            <w:jc w:val="both"/>
            <w:rPr>
              <w:rFonts w:asciiTheme="minorHAnsi" w:eastAsiaTheme="minorHAnsi" w:hAnsiTheme="minorHAnsi" w:cstheme="minorBidi"/>
              <w:b/>
              <w:bCs/>
              <w:color w:val="000000" w:themeColor="text1"/>
              <w:sz w:val="22"/>
              <w:szCs w:val="22"/>
              <w:lang w:val="en-GB"/>
            </w:rPr>
          </w:pPr>
          <w:r w:rsidRPr="00455374">
            <w:rPr>
              <w:b/>
              <w:bCs/>
              <w:color w:val="000000" w:themeColor="text1"/>
            </w:rPr>
            <w:t>Contents</w:t>
          </w:r>
        </w:p>
        <w:p w14:paraId="580D6039" w14:textId="78F5BC4C" w:rsidR="00E17EB2" w:rsidRDefault="00E83E7C">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4260162" w:history="1">
            <w:r w:rsidR="00E17EB2" w:rsidRPr="00311501">
              <w:rPr>
                <w:rStyle w:val="Hyperlink"/>
                <w:rFonts w:ascii="Calibri" w:hAnsi="Calibri" w:cs="Calibri"/>
                <w:b/>
                <w:noProof/>
              </w:rPr>
              <w:t>List of acronyms</w:t>
            </w:r>
            <w:r w:rsidR="00E17EB2">
              <w:rPr>
                <w:noProof/>
                <w:webHidden/>
              </w:rPr>
              <w:tab/>
            </w:r>
            <w:r w:rsidR="00E17EB2">
              <w:rPr>
                <w:noProof/>
                <w:webHidden/>
              </w:rPr>
              <w:fldChar w:fldCharType="begin"/>
            </w:r>
            <w:r w:rsidR="00E17EB2">
              <w:rPr>
                <w:noProof/>
                <w:webHidden/>
              </w:rPr>
              <w:instrText xml:space="preserve"> PAGEREF _Toc204260162 \h </w:instrText>
            </w:r>
            <w:r w:rsidR="00E17EB2">
              <w:rPr>
                <w:noProof/>
                <w:webHidden/>
              </w:rPr>
            </w:r>
            <w:r w:rsidR="00E17EB2">
              <w:rPr>
                <w:noProof/>
                <w:webHidden/>
              </w:rPr>
              <w:fldChar w:fldCharType="separate"/>
            </w:r>
            <w:r w:rsidR="00E17EB2">
              <w:rPr>
                <w:noProof/>
                <w:webHidden/>
              </w:rPr>
              <w:t>iii</w:t>
            </w:r>
            <w:r w:rsidR="00E17EB2">
              <w:rPr>
                <w:noProof/>
                <w:webHidden/>
              </w:rPr>
              <w:fldChar w:fldCharType="end"/>
            </w:r>
          </w:hyperlink>
        </w:p>
        <w:p w14:paraId="14314719" w14:textId="1AC23DFB" w:rsidR="00E17EB2" w:rsidRDefault="002C5D25">
          <w:pPr>
            <w:pStyle w:val="TOC1"/>
            <w:tabs>
              <w:tab w:val="right" w:leader="dot" w:pos="9016"/>
            </w:tabs>
            <w:rPr>
              <w:rFonts w:eastAsiaTheme="minorEastAsia"/>
              <w:noProof/>
              <w:lang w:eastAsia="en-GB"/>
            </w:rPr>
          </w:pPr>
          <w:hyperlink w:anchor="_Toc204260163" w:history="1">
            <w:r w:rsidR="00E17EB2" w:rsidRPr="00311501">
              <w:rPr>
                <w:rStyle w:val="Hyperlink"/>
                <w:rFonts w:ascii="Calibri" w:hAnsi="Calibri" w:cs="Calibri"/>
                <w:b/>
                <w:noProof/>
              </w:rPr>
              <w:t>List of contacts</w:t>
            </w:r>
            <w:r w:rsidR="00E17EB2">
              <w:rPr>
                <w:noProof/>
                <w:webHidden/>
              </w:rPr>
              <w:tab/>
            </w:r>
            <w:r w:rsidR="00E17EB2">
              <w:rPr>
                <w:noProof/>
                <w:webHidden/>
              </w:rPr>
              <w:fldChar w:fldCharType="begin"/>
            </w:r>
            <w:r w:rsidR="00E17EB2">
              <w:rPr>
                <w:noProof/>
                <w:webHidden/>
              </w:rPr>
              <w:instrText xml:space="preserve"> PAGEREF _Toc204260163 \h </w:instrText>
            </w:r>
            <w:r w:rsidR="00E17EB2">
              <w:rPr>
                <w:noProof/>
                <w:webHidden/>
              </w:rPr>
            </w:r>
            <w:r w:rsidR="00E17EB2">
              <w:rPr>
                <w:noProof/>
                <w:webHidden/>
              </w:rPr>
              <w:fldChar w:fldCharType="separate"/>
            </w:r>
            <w:r w:rsidR="00E17EB2">
              <w:rPr>
                <w:noProof/>
                <w:webHidden/>
              </w:rPr>
              <w:t>iv</w:t>
            </w:r>
            <w:r w:rsidR="00E17EB2">
              <w:rPr>
                <w:noProof/>
                <w:webHidden/>
              </w:rPr>
              <w:fldChar w:fldCharType="end"/>
            </w:r>
          </w:hyperlink>
        </w:p>
        <w:p w14:paraId="41813C22" w14:textId="7A789A2B" w:rsidR="00E17EB2" w:rsidRDefault="002C5D25">
          <w:pPr>
            <w:pStyle w:val="TOC1"/>
            <w:tabs>
              <w:tab w:val="right" w:leader="dot" w:pos="9016"/>
            </w:tabs>
            <w:rPr>
              <w:rFonts w:eastAsiaTheme="minorEastAsia"/>
              <w:noProof/>
              <w:lang w:eastAsia="en-GB"/>
            </w:rPr>
          </w:pPr>
          <w:hyperlink w:anchor="_Toc204260164" w:history="1">
            <w:r w:rsidR="00E17EB2" w:rsidRPr="00311501">
              <w:rPr>
                <w:rStyle w:val="Hyperlink"/>
                <w:rFonts w:ascii="Calibri" w:hAnsi="Calibri" w:cs="Calibri"/>
                <w:b/>
                <w:noProof/>
              </w:rPr>
              <w:t>What is/is not research?</w:t>
            </w:r>
            <w:r w:rsidR="00E17EB2">
              <w:rPr>
                <w:noProof/>
                <w:webHidden/>
              </w:rPr>
              <w:tab/>
            </w:r>
            <w:r w:rsidR="00E17EB2">
              <w:rPr>
                <w:noProof/>
                <w:webHidden/>
              </w:rPr>
              <w:fldChar w:fldCharType="begin"/>
            </w:r>
            <w:r w:rsidR="00E17EB2">
              <w:rPr>
                <w:noProof/>
                <w:webHidden/>
              </w:rPr>
              <w:instrText xml:space="preserve"> PAGEREF _Toc204260164 \h </w:instrText>
            </w:r>
            <w:r w:rsidR="00E17EB2">
              <w:rPr>
                <w:noProof/>
                <w:webHidden/>
              </w:rPr>
            </w:r>
            <w:r w:rsidR="00E17EB2">
              <w:rPr>
                <w:noProof/>
                <w:webHidden/>
              </w:rPr>
              <w:fldChar w:fldCharType="separate"/>
            </w:r>
            <w:r w:rsidR="00E17EB2">
              <w:rPr>
                <w:noProof/>
                <w:webHidden/>
              </w:rPr>
              <w:t>1</w:t>
            </w:r>
            <w:r w:rsidR="00E17EB2">
              <w:rPr>
                <w:noProof/>
                <w:webHidden/>
              </w:rPr>
              <w:fldChar w:fldCharType="end"/>
            </w:r>
          </w:hyperlink>
        </w:p>
        <w:p w14:paraId="15ECCB15" w14:textId="38374422" w:rsidR="00E17EB2" w:rsidRDefault="002C5D25">
          <w:pPr>
            <w:pStyle w:val="TOC1"/>
            <w:tabs>
              <w:tab w:val="right" w:leader="dot" w:pos="9016"/>
            </w:tabs>
            <w:rPr>
              <w:rFonts w:eastAsiaTheme="minorEastAsia"/>
              <w:noProof/>
              <w:lang w:eastAsia="en-GB"/>
            </w:rPr>
          </w:pPr>
          <w:hyperlink w:anchor="_Toc204260165" w:history="1">
            <w:r w:rsidR="00E17EB2" w:rsidRPr="00311501">
              <w:rPr>
                <w:rStyle w:val="Hyperlink"/>
                <w:rFonts w:ascii="Calibri" w:hAnsi="Calibri" w:cs="Calibri"/>
                <w:b/>
                <w:noProof/>
              </w:rPr>
              <w:t>1. Background</w:t>
            </w:r>
            <w:r w:rsidR="00E17EB2">
              <w:rPr>
                <w:noProof/>
                <w:webHidden/>
              </w:rPr>
              <w:tab/>
            </w:r>
            <w:r w:rsidR="00E17EB2">
              <w:rPr>
                <w:noProof/>
                <w:webHidden/>
              </w:rPr>
              <w:fldChar w:fldCharType="begin"/>
            </w:r>
            <w:r w:rsidR="00E17EB2">
              <w:rPr>
                <w:noProof/>
                <w:webHidden/>
              </w:rPr>
              <w:instrText xml:space="preserve"> PAGEREF _Toc204260165 \h </w:instrText>
            </w:r>
            <w:r w:rsidR="00E17EB2">
              <w:rPr>
                <w:noProof/>
                <w:webHidden/>
              </w:rPr>
            </w:r>
            <w:r w:rsidR="00E17EB2">
              <w:rPr>
                <w:noProof/>
                <w:webHidden/>
              </w:rPr>
              <w:fldChar w:fldCharType="separate"/>
            </w:r>
            <w:r w:rsidR="00E17EB2">
              <w:rPr>
                <w:noProof/>
                <w:webHidden/>
              </w:rPr>
              <w:t>1</w:t>
            </w:r>
            <w:r w:rsidR="00E17EB2">
              <w:rPr>
                <w:noProof/>
                <w:webHidden/>
              </w:rPr>
              <w:fldChar w:fldCharType="end"/>
            </w:r>
          </w:hyperlink>
        </w:p>
        <w:p w14:paraId="3837993B" w14:textId="3975D858" w:rsidR="00E17EB2" w:rsidRDefault="002C5D25">
          <w:pPr>
            <w:pStyle w:val="TOC1"/>
            <w:tabs>
              <w:tab w:val="right" w:leader="dot" w:pos="9016"/>
            </w:tabs>
            <w:rPr>
              <w:rFonts w:eastAsiaTheme="minorEastAsia"/>
              <w:noProof/>
              <w:lang w:eastAsia="en-GB"/>
            </w:rPr>
          </w:pPr>
          <w:hyperlink w:anchor="_Toc204260166" w:history="1">
            <w:r w:rsidR="00E17EB2" w:rsidRPr="00311501">
              <w:rPr>
                <w:rStyle w:val="Hyperlink"/>
                <w:rFonts w:ascii="Calibri" w:hAnsi="Calibri" w:cs="Calibri"/>
                <w:b/>
                <w:noProof/>
              </w:rPr>
              <w:t>2. Application process for the ERIN database</w:t>
            </w:r>
            <w:r w:rsidR="00E17EB2">
              <w:rPr>
                <w:noProof/>
                <w:webHidden/>
              </w:rPr>
              <w:tab/>
            </w:r>
            <w:r w:rsidR="00E17EB2">
              <w:rPr>
                <w:noProof/>
                <w:webHidden/>
              </w:rPr>
              <w:fldChar w:fldCharType="begin"/>
            </w:r>
            <w:r w:rsidR="00E17EB2">
              <w:rPr>
                <w:noProof/>
                <w:webHidden/>
              </w:rPr>
              <w:instrText xml:space="preserve"> PAGEREF _Toc204260166 \h </w:instrText>
            </w:r>
            <w:r w:rsidR="00E17EB2">
              <w:rPr>
                <w:noProof/>
                <w:webHidden/>
              </w:rPr>
            </w:r>
            <w:r w:rsidR="00E17EB2">
              <w:rPr>
                <w:noProof/>
                <w:webHidden/>
              </w:rPr>
              <w:fldChar w:fldCharType="separate"/>
            </w:r>
            <w:r w:rsidR="00E17EB2">
              <w:rPr>
                <w:noProof/>
                <w:webHidden/>
              </w:rPr>
              <w:t>2</w:t>
            </w:r>
            <w:r w:rsidR="00E17EB2">
              <w:rPr>
                <w:noProof/>
                <w:webHidden/>
              </w:rPr>
              <w:fldChar w:fldCharType="end"/>
            </w:r>
          </w:hyperlink>
        </w:p>
        <w:p w14:paraId="47FE338A" w14:textId="5B7B5D33" w:rsidR="00E17EB2" w:rsidRDefault="002C5D25">
          <w:pPr>
            <w:pStyle w:val="TOC2"/>
            <w:tabs>
              <w:tab w:val="right" w:leader="dot" w:pos="9016"/>
            </w:tabs>
            <w:rPr>
              <w:rFonts w:eastAsiaTheme="minorEastAsia"/>
              <w:noProof/>
              <w:lang w:eastAsia="en-GB"/>
            </w:rPr>
          </w:pPr>
          <w:hyperlink w:anchor="_Toc204260167" w:history="1">
            <w:r w:rsidR="00E17EB2" w:rsidRPr="00311501">
              <w:rPr>
                <w:rStyle w:val="Hyperlink"/>
                <w:rFonts w:ascii="Calibri" w:hAnsi="Calibri" w:cs="Calibri"/>
                <w:b/>
                <w:noProof/>
              </w:rPr>
              <w:t>2.1 Principles and initial points to consider</w:t>
            </w:r>
            <w:r w:rsidR="00E17EB2">
              <w:rPr>
                <w:noProof/>
                <w:webHidden/>
              </w:rPr>
              <w:tab/>
            </w:r>
            <w:r w:rsidR="00E17EB2">
              <w:rPr>
                <w:noProof/>
                <w:webHidden/>
              </w:rPr>
              <w:fldChar w:fldCharType="begin"/>
            </w:r>
            <w:r w:rsidR="00E17EB2">
              <w:rPr>
                <w:noProof/>
                <w:webHidden/>
              </w:rPr>
              <w:instrText xml:space="preserve"> PAGEREF _Toc204260167 \h </w:instrText>
            </w:r>
            <w:r w:rsidR="00E17EB2">
              <w:rPr>
                <w:noProof/>
                <w:webHidden/>
              </w:rPr>
            </w:r>
            <w:r w:rsidR="00E17EB2">
              <w:rPr>
                <w:noProof/>
                <w:webHidden/>
              </w:rPr>
              <w:fldChar w:fldCharType="separate"/>
            </w:r>
            <w:r w:rsidR="00E17EB2">
              <w:rPr>
                <w:noProof/>
                <w:webHidden/>
              </w:rPr>
              <w:t>2</w:t>
            </w:r>
            <w:r w:rsidR="00E17EB2">
              <w:rPr>
                <w:noProof/>
                <w:webHidden/>
              </w:rPr>
              <w:fldChar w:fldCharType="end"/>
            </w:r>
          </w:hyperlink>
        </w:p>
        <w:p w14:paraId="7E0C1D6E" w14:textId="2D25D65B" w:rsidR="00E17EB2" w:rsidRDefault="002C5D25">
          <w:pPr>
            <w:pStyle w:val="TOC2"/>
            <w:tabs>
              <w:tab w:val="right" w:leader="dot" w:pos="9016"/>
            </w:tabs>
            <w:rPr>
              <w:rFonts w:eastAsiaTheme="minorEastAsia"/>
              <w:noProof/>
              <w:lang w:eastAsia="en-GB"/>
            </w:rPr>
          </w:pPr>
          <w:hyperlink w:anchor="_Toc204260168" w:history="1">
            <w:r w:rsidR="00E17EB2" w:rsidRPr="00311501">
              <w:rPr>
                <w:rStyle w:val="Hyperlink"/>
                <w:rFonts w:ascii="Calibri" w:hAnsi="Calibri" w:cs="Calibri"/>
                <w:b/>
                <w:noProof/>
              </w:rPr>
              <w:t>2.2 Overview of governance review process</w:t>
            </w:r>
            <w:r w:rsidR="00E17EB2">
              <w:rPr>
                <w:noProof/>
                <w:webHidden/>
              </w:rPr>
              <w:tab/>
            </w:r>
            <w:r w:rsidR="00E17EB2">
              <w:rPr>
                <w:noProof/>
                <w:webHidden/>
              </w:rPr>
              <w:fldChar w:fldCharType="begin"/>
            </w:r>
            <w:r w:rsidR="00E17EB2">
              <w:rPr>
                <w:noProof/>
                <w:webHidden/>
              </w:rPr>
              <w:instrText xml:space="preserve"> PAGEREF _Toc204260168 \h </w:instrText>
            </w:r>
            <w:r w:rsidR="00E17EB2">
              <w:rPr>
                <w:noProof/>
                <w:webHidden/>
              </w:rPr>
            </w:r>
            <w:r w:rsidR="00E17EB2">
              <w:rPr>
                <w:noProof/>
                <w:webHidden/>
              </w:rPr>
              <w:fldChar w:fldCharType="separate"/>
            </w:r>
            <w:r w:rsidR="00E17EB2">
              <w:rPr>
                <w:noProof/>
                <w:webHidden/>
              </w:rPr>
              <w:t>3</w:t>
            </w:r>
            <w:r w:rsidR="00E17EB2">
              <w:rPr>
                <w:noProof/>
                <w:webHidden/>
              </w:rPr>
              <w:fldChar w:fldCharType="end"/>
            </w:r>
          </w:hyperlink>
        </w:p>
        <w:p w14:paraId="31D1FF2C" w14:textId="72A1D215" w:rsidR="00E17EB2" w:rsidRDefault="002C5D25">
          <w:pPr>
            <w:pStyle w:val="TOC2"/>
            <w:tabs>
              <w:tab w:val="right" w:leader="dot" w:pos="9016"/>
            </w:tabs>
            <w:rPr>
              <w:rFonts w:eastAsiaTheme="minorEastAsia"/>
              <w:noProof/>
              <w:lang w:eastAsia="en-GB"/>
            </w:rPr>
          </w:pPr>
          <w:hyperlink w:anchor="_Toc204260169" w:history="1">
            <w:r w:rsidR="00E17EB2" w:rsidRPr="00311501">
              <w:rPr>
                <w:rStyle w:val="Hyperlink"/>
                <w:rFonts w:ascii="Calibri" w:hAnsi="Calibri" w:cs="Calibri"/>
                <w:b/>
                <w:noProof/>
              </w:rPr>
              <w:t>2.3 ERIN Patient Involvement Panel and ERIN Data Access Committee</w:t>
            </w:r>
            <w:r w:rsidR="00E17EB2">
              <w:rPr>
                <w:noProof/>
                <w:webHidden/>
              </w:rPr>
              <w:tab/>
            </w:r>
            <w:r w:rsidR="00E17EB2">
              <w:rPr>
                <w:noProof/>
                <w:webHidden/>
              </w:rPr>
              <w:fldChar w:fldCharType="begin"/>
            </w:r>
            <w:r w:rsidR="00E17EB2">
              <w:rPr>
                <w:noProof/>
                <w:webHidden/>
              </w:rPr>
              <w:instrText xml:space="preserve"> PAGEREF _Toc204260169 \h </w:instrText>
            </w:r>
            <w:r w:rsidR="00E17EB2">
              <w:rPr>
                <w:noProof/>
                <w:webHidden/>
              </w:rPr>
            </w:r>
            <w:r w:rsidR="00E17EB2">
              <w:rPr>
                <w:noProof/>
                <w:webHidden/>
              </w:rPr>
              <w:fldChar w:fldCharType="separate"/>
            </w:r>
            <w:r w:rsidR="00E17EB2">
              <w:rPr>
                <w:noProof/>
                <w:webHidden/>
              </w:rPr>
              <w:t>4</w:t>
            </w:r>
            <w:r w:rsidR="00E17EB2">
              <w:rPr>
                <w:noProof/>
                <w:webHidden/>
              </w:rPr>
              <w:fldChar w:fldCharType="end"/>
            </w:r>
          </w:hyperlink>
        </w:p>
        <w:p w14:paraId="6036F859" w14:textId="6538385A" w:rsidR="00E17EB2" w:rsidRDefault="002C5D25">
          <w:pPr>
            <w:pStyle w:val="TOC2"/>
            <w:tabs>
              <w:tab w:val="right" w:leader="dot" w:pos="9016"/>
            </w:tabs>
            <w:rPr>
              <w:rFonts w:eastAsiaTheme="minorEastAsia"/>
              <w:noProof/>
              <w:lang w:eastAsia="en-GB"/>
            </w:rPr>
          </w:pPr>
          <w:hyperlink w:anchor="_Toc204260170" w:history="1">
            <w:r w:rsidR="00E17EB2" w:rsidRPr="00311501">
              <w:rPr>
                <w:rStyle w:val="Hyperlink"/>
                <w:rFonts w:ascii="Calibri" w:hAnsi="Calibri" w:cs="Calibri"/>
                <w:b/>
                <w:noProof/>
              </w:rPr>
              <w:t>2.4 Sponsorship and required documents</w:t>
            </w:r>
            <w:r w:rsidR="00E17EB2">
              <w:rPr>
                <w:noProof/>
                <w:webHidden/>
              </w:rPr>
              <w:tab/>
            </w:r>
            <w:r w:rsidR="00E17EB2">
              <w:rPr>
                <w:noProof/>
                <w:webHidden/>
              </w:rPr>
              <w:fldChar w:fldCharType="begin"/>
            </w:r>
            <w:r w:rsidR="00E17EB2">
              <w:rPr>
                <w:noProof/>
                <w:webHidden/>
              </w:rPr>
              <w:instrText xml:space="preserve"> PAGEREF _Toc204260170 \h </w:instrText>
            </w:r>
            <w:r w:rsidR="00E17EB2">
              <w:rPr>
                <w:noProof/>
                <w:webHidden/>
              </w:rPr>
            </w:r>
            <w:r w:rsidR="00E17EB2">
              <w:rPr>
                <w:noProof/>
                <w:webHidden/>
              </w:rPr>
              <w:fldChar w:fldCharType="separate"/>
            </w:r>
            <w:r w:rsidR="00E17EB2">
              <w:rPr>
                <w:noProof/>
                <w:webHidden/>
              </w:rPr>
              <w:t>5</w:t>
            </w:r>
            <w:r w:rsidR="00E17EB2">
              <w:rPr>
                <w:noProof/>
                <w:webHidden/>
              </w:rPr>
              <w:fldChar w:fldCharType="end"/>
            </w:r>
          </w:hyperlink>
        </w:p>
        <w:p w14:paraId="37E26578" w14:textId="46442DD7" w:rsidR="00E17EB2" w:rsidRDefault="002C5D25">
          <w:pPr>
            <w:pStyle w:val="TOC3"/>
            <w:tabs>
              <w:tab w:val="right" w:leader="dot" w:pos="9016"/>
            </w:tabs>
            <w:rPr>
              <w:rFonts w:eastAsiaTheme="minorEastAsia"/>
              <w:noProof/>
              <w:lang w:eastAsia="en-GB"/>
            </w:rPr>
          </w:pPr>
          <w:hyperlink w:anchor="_Toc204260171" w:history="1">
            <w:r w:rsidR="00E17EB2" w:rsidRPr="00311501">
              <w:rPr>
                <w:rStyle w:val="Hyperlink"/>
                <w:rFonts w:ascii="Calibri" w:hAnsi="Calibri" w:cs="Calibri"/>
                <w:bCs/>
                <w:noProof/>
              </w:rPr>
              <w:t>2.4.1 Cambridge-only studies</w:t>
            </w:r>
            <w:r w:rsidR="00E17EB2">
              <w:rPr>
                <w:noProof/>
                <w:webHidden/>
              </w:rPr>
              <w:tab/>
            </w:r>
            <w:r w:rsidR="00E17EB2">
              <w:rPr>
                <w:noProof/>
                <w:webHidden/>
              </w:rPr>
              <w:fldChar w:fldCharType="begin"/>
            </w:r>
            <w:r w:rsidR="00E17EB2">
              <w:rPr>
                <w:noProof/>
                <w:webHidden/>
              </w:rPr>
              <w:instrText xml:space="preserve"> PAGEREF _Toc204260171 \h </w:instrText>
            </w:r>
            <w:r w:rsidR="00E17EB2">
              <w:rPr>
                <w:noProof/>
                <w:webHidden/>
              </w:rPr>
            </w:r>
            <w:r w:rsidR="00E17EB2">
              <w:rPr>
                <w:noProof/>
                <w:webHidden/>
              </w:rPr>
              <w:fldChar w:fldCharType="separate"/>
            </w:r>
            <w:r w:rsidR="00E17EB2">
              <w:rPr>
                <w:noProof/>
                <w:webHidden/>
              </w:rPr>
              <w:t>5</w:t>
            </w:r>
            <w:r w:rsidR="00E17EB2">
              <w:rPr>
                <w:noProof/>
                <w:webHidden/>
              </w:rPr>
              <w:fldChar w:fldCharType="end"/>
            </w:r>
          </w:hyperlink>
        </w:p>
        <w:p w14:paraId="035B7F18" w14:textId="781C488D" w:rsidR="00E17EB2" w:rsidRDefault="002C5D25">
          <w:pPr>
            <w:pStyle w:val="TOC3"/>
            <w:tabs>
              <w:tab w:val="right" w:leader="dot" w:pos="9016"/>
            </w:tabs>
            <w:rPr>
              <w:rFonts w:eastAsiaTheme="minorEastAsia"/>
              <w:noProof/>
              <w:lang w:eastAsia="en-GB"/>
            </w:rPr>
          </w:pPr>
          <w:hyperlink w:anchor="_Toc204260172" w:history="1">
            <w:r w:rsidR="00E17EB2" w:rsidRPr="00311501">
              <w:rPr>
                <w:rStyle w:val="Hyperlink"/>
                <w:rFonts w:ascii="Calibri" w:hAnsi="Calibri" w:cs="Calibri"/>
                <w:bCs/>
                <w:noProof/>
              </w:rPr>
              <w:t>2.4.2 Cambridge-led, multi-site studies</w:t>
            </w:r>
            <w:r w:rsidR="00E17EB2">
              <w:rPr>
                <w:noProof/>
                <w:webHidden/>
              </w:rPr>
              <w:tab/>
            </w:r>
            <w:r w:rsidR="00E17EB2">
              <w:rPr>
                <w:noProof/>
                <w:webHidden/>
              </w:rPr>
              <w:fldChar w:fldCharType="begin"/>
            </w:r>
            <w:r w:rsidR="00E17EB2">
              <w:rPr>
                <w:noProof/>
                <w:webHidden/>
              </w:rPr>
              <w:instrText xml:space="preserve"> PAGEREF _Toc204260172 \h </w:instrText>
            </w:r>
            <w:r w:rsidR="00E17EB2">
              <w:rPr>
                <w:noProof/>
                <w:webHidden/>
              </w:rPr>
            </w:r>
            <w:r w:rsidR="00E17EB2">
              <w:rPr>
                <w:noProof/>
                <w:webHidden/>
              </w:rPr>
              <w:fldChar w:fldCharType="separate"/>
            </w:r>
            <w:r w:rsidR="00E17EB2">
              <w:rPr>
                <w:noProof/>
                <w:webHidden/>
              </w:rPr>
              <w:t>6</w:t>
            </w:r>
            <w:r w:rsidR="00E17EB2">
              <w:rPr>
                <w:noProof/>
                <w:webHidden/>
              </w:rPr>
              <w:fldChar w:fldCharType="end"/>
            </w:r>
          </w:hyperlink>
        </w:p>
        <w:p w14:paraId="68276EAB" w14:textId="1A2C2316" w:rsidR="00E17EB2" w:rsidRDefault="002C5D25">
          <w:pPr>
            <w:pStyle w:val="TOC3"/>
            <w:tabs>
              <w:tab w:val="right" w:leader="dot" w:pos="9016"/>
            </w:tabs>
            <w:rPr>
              <w:rFonts w:eastAsiaTheme="minorEastAsia"/>
              <w:noProof/>
              <w:lang w:eastAsia="en-GB"/>
            </w:rPr>
          </w:pPr>
          <w:hyperlink w:anchor="_Toc204260173" w:history="1">
            <w:r w:rsidR="00E17EB2" w:rsidRPr="00311501">
              <w:rPr>
                <w:rStyle w:val="Hyperlink"/>
                <w:rFonts w:ascii="Calibri" w:hAnsi="Calibri" w:cs="Calibri"/>
                <w:bCs/>
                <w:noProof/>
              </w:rPr>
              <w:t>2.4.3 Hosted studies</w:t>
            </w:r>
            <w:r w:rsidR="00E17EB2">
              <w:rPr>
                <w:noProof/>
                <w:webHidden/>
              </w:rPr>
              <w:tab/>
            </w:r>
            <w:r w:rsidR="00E17EB2">
              <w:rPr>
                <w:noProof/>
                <w:webHidden/>
              </w:rPr>
              <w:fldChar w:fldCharType="begin"/>
            </w:r>
            <w:r w:rsidR="00E17EB2">
              <w:rPr>
                <w:noProof/>
                <w:webHidden/>
              </w:rPr>
              <w:instrText xml:space="preserve"> PAGEREF _Toc204260173 \h </w:instrText>
            </w:r>
            <w:r w:rsidR="00E17EB2">
              <w:rPr>
                <w:noProof/>
                <w:webHidden/>
              </w:rPr>
            </w:r>
            <w:r w:rsidR="00E17EB2">
              <w:rPr>
                <w:noProof/>
                <w:webHidden/>
              </w:rPr>
              <w:fldChar w:fldCharType="separate"/>
            </w:r>
            <w:r w:rsidR="00E17EB2">
              <w:rPr>
                <w:noProof/>
                <w:webHidden/>
              </w:rPr>
              <w:t>6</w:t>
            </w:r>
            <w:r w:rsidR="00E17EB2">
              <w:rPr>
                <w:noProof/>
                <w:webHidden/>
              </w:rPr>
              <w:fldChar w:fldCharType="end"/>
            </w:r>
          </w:hyperlink>
        </w:p>
        <w:p w14:paraId="4BCD83BE" w14:textId="1CB1B78C" w:rsidR="00E17EB2" w:rsidRDefault="002C5D25">
          <w:pPr>
            <w:pStyle w:val="TOC2"/>
            <w:tabs>
              <w:tab w:val="right" w:leader="dot" w:pos="9016"/>
            </w:tabs>
            <w:rPr>
              <w:rFonts w:eastAsiaTheme="minorEastAsia"/>
              <w:noProof/>
              <w:lang w:eastAsia="en-GB"/>
            </w:rPr>
          </w:pPr>
          <w:hyperlink w:anchor="_Toc204260174" w:history="1">
            <w:r w:rsidR="00E17EB2" w:rsidRPr="00311501">
              <w:rPr>
                <w:rStyle w:val="Hyperlink"/>
                <w:rFonts w:cstheme="minorHAnsi"/>
                <w:b/>
                <w:bCs/>
                <w:noProof/>
              </w:rPr>
              <w:t>2.5 Protocol</w:t>
            </w:r>
            <w:r w:rsidR="00E17EB2">
              <w:rPr>
                <w:noProof/>
                <w:webHidden/>
              </w:rPr>
              <w:tab/>
            </w:r>
            <w:r w:rsidR="00E17EB2">
              <w:rPr>
                <w:noProof/>
                <w:webHidden/>
              </w:rPr>
              <w:fldChar w:fldCharType="begin"/>
            </w:r>
            <w:r w:rsidR="00E17EB2">
              <w:rPr>
                <w:noProof/>
                <w:webHidden/>
              </w:rPr>
              <w:instrText xml:space="preserve"> PAGEREF _Toc204260174 \h </w:instrText>
            </w:r>
            <w:r w:rsidR="00E17EB2">
              <w:rPr>
                <w:noProof/>
                <w:webHidden/>
              </w:rPr>
            </w:r>
            <w:r w:rsidR="00E17EB2">
              <w:rPr>
                <w:noProof/>
                <w:webHidden/>
              </w:rPr>
              <w:fldChar w:fldCharType="separate"/>
            </w:r>
            <w:r w:rsidR="00E17EB2">
              <w:rPr>
                <w:noProof/>
                <w:webHidden/>
              </w:rPr>
              <w:t>6</w:t>
            </w:r>
            <w:r w:rsidR="00E17EB2">
              <w:rPr>
                <w:noProof/>
                <w:webHidden/>
              </w:rPr>
              <w:fldChar w:fldCharType="end"/>
            </w:r>
          </w:hyperlink>
        </w:p>
        <w:p w14:paraId="2643DFE6" w14:textId="495432BF" w:rsidR="00E17EB2" w:rsidRDefault="002C5D25">
          <w:pPr>
            <w:pStyle w:val="TOC2"/>
            <w:tabs>
              <w:tab w:val="right" w:leader="dot" w:pos="9016"/>
            </w:tabs>
            <w:rPr>
              <w:rFonts w:eastAsiaTheme="minorEastAsia"/>
              <w:noProof/>
              <w:lang w:eastAsia="en-GB"/>
            </w:rPr>
          </w:pPr>
          <w:hyperlink w:anchor="_Toc204260175" w:history="1">
            <w:r w:rsidR="00E17EB2" w:rsidRPr="00311501">
              <w:rPr>
                <w:rStyle w:val="Hyperlink"/>
                <w:rFonts w:cstheme="minorHAnsi"/>
                <w:b/>
                <w:bCs/>
                <w:noProof/>
              </w:rPr>
              <w:t>2.6 Patient and public involvement, and peer review</w:t>
            </w:r>
            <w:r w:rsidR="00E17EB2">
              <w:rPr>
                <w:noProof/>
                <w:webHidden/>
              </w:rPr>
              <w:tab/>
            </w:r>
            <w:r w:rsidR="00E17EB2">
              <w:rPr>
                <w:noProof/>
                <w:webHidden/>
              </w:rPr>
              <w:fldChar w:fldCharType="begin"/>
            </w:r>
            <w:r w:rsidR="00E17EB2">
              <w:rPr>
                <w:noProof/>
                <w:webHidden/>
              </w:rPr>
              <w:instrText xml:space="preserve"> PAGEREF _Toc204260175 \h </w:instrText>
            </w:r>
            <w:r w:rsidR="00E17EB2">
              <w:rPr>
                <w:noProof/>
                <w:webHidden/>
              </w:rPr>
            </w:r>
            <w:r w:rsidR="00E17EB2">
              <w:rPr>
                <w:noProof/>
                <w:webHidden/>
              </w:rPr>
              <w:fldChar w:fldCharType="separate"/>
            </w:r>
            <w:r w:rsidR="00E17EB2">
              <w:rPr>
                <w:noProof/>
                <w:webHidden/>
              </w:rPr>
              <w:t>7</w:t>
            </w:r>
            <w:r w:rsidR="00E17EB2">
              <w:rPr>
                <w:noProof/>
                <w:webHidden/>
              </w:rPr>
              <w:fldChar w:fldCharType="end"/>
            </w:r>
          </w:hyperlink>
        </w:p>
        <w:p w14:paraId="14F14629" w14:textId="23EADF91" w:rsidR="00E17EB2" w:rsidRDefault="002C5D25">
          <w:pPr>
            <w:pStyle w:val="TOC2"/>
            <w:tabs>
              <w:tab w:val="right" w:leader="dot" w:pos="9016"/>
            </w:tabs>
            <w:rPr>
              <w:rFonts w:eastAsiaTheme="minorEastAsia"/>
              <w:noProof/>
              <w:lang w:eastAsia="en-GB"/>
            </w:rPr>
          </w:pPr>
          <w:hyperlink w:anchor="_Toc204260176" w:history="1">
            <w:r w:rsidR="00E17EB2" w:rsidRPr="00311501">
              <w:rPr>
                <w:rStyle w:val="Hyperlink"/>
                <w:rFonts w:ascii="Calibri" w:hAnsi="Calibri" w:cs="Calibri"/>
                <w:b/>
                <w:noProof/>
              </w:rPr>
              <w:t>2.7 Agreements, employment and funding</w:t>
            </w:r>
            <w:r w:rsidR="00E17EB2">
              <w:rPr>
                <w:noProof/>
                <w:webHidden/>
              </w:rPr>
              <w:tab/>
            </w:r>
            <w:r w:rsidR="00E17EB2">
              <w:rPr>
                <w:noProof/>
                <w:webHidden/>
              </w:rPr>
              <w:fldChar w:fldCharType="begin"/>
            </w:r>
            <w:r w:rsidR="00E17EB2">
              <w:rPr>
                <w:noProof/>
                <w:webHidden/>
              </w:rPr>
              <w:instrText xml:space="preserve"> PAGEREF _Toc204260176 \h </w:instrText>
            </w:r>
            <w:r w:rsidR="00E17EB2">
              <w:rPr>
                <w:noProof/>
                <w:webHidden/>
              </w:rPr>
            </w:r>
            <w:r w:rsidR="00E17EB2">
              <w:rPr>
                <w:noProof/>
                <w:webHidden/>
              </w:rPr>
              <w:fldChar w:fldCharType="separate"/>
            </w:r>
            <w:r w:rsidR="00E17EB2">
              <w:rPr>
                <w:noProof/>
                <w:webHidden/>
              </w:rPr>
              <w:t>7</w:t>
            </w:r>
            <w:r w:rsidR="00E17EB2">
              <w:rPr>
                <w:noProof/>
                <w:webHidden/>
              </w:rPr>
              <w:fldChar w:fldCharType="end"/>
            </w:r>
          </w:hyperlink>
        </w:p>
        <w:p w14:paraId="071D50F0" w14:textId="38A8A45D" w:rsidR="00E17EB2" w:rsidRDefault="002C5D25">
          <w:pPr>
            <w:pStyle w:val="TOC2"/>
            <w:tabs>
              <w:tab w:val="right" w:leader="dot" w:pos="9016"/>
            </w:tabs>
            <w:rPr>
              <w:rFonts w:eastAsiaTheme="minorEastAsia"/>
              <w:noProof/>
              <w:lang w:eastAsia="en-GB"/>
            </w:rPr>
          </w:pPr>
          <w:hyperlink w:anchor="_Toc204260177" w:history="1">
            <w:r w:rsidR="00E17EB2" w:rsidRPr="00311501">
              <w:rPr>
                <w:rStyle w:val="Hyperlink"/>
                <w:rFonts w:cstheme="minorHAnsi"/>
                <w:b/>
                <w:bCs/>
                <w:noProof/>
              </w:rPr>
              <w:t>2.8 Regulatory approvals for multi-site studies</w:t>
            </w:r>
            <w:r w:rsidR="00E17EB2">
              <w:rPr>
                <w:noProof/>
                <w:webHidden/>
              </w:rPr>
              <w:tab/>
            </w:r>
            <w:r w:rsidR="00E17EB2">
              <w:rPr>
                <w:noProof/>
                <w:webHidden/>
              </w:rPr>
              <w:fldChar w:fldCharType="begin"/>
            </w:r>
            <w:r w:rsidR="00E17EB2">
              <w:rPr>
                <w:noProof/>
                <w:webHidden/>
              </w:rPr>
              <w:instrText xml:space="preserve"> PAGEREF _Toc204260177 \h </w:instrText>
            </w:r>
            <w:r w:rsidR="00E17EB2">
              <w:rPr>
                <w:noProof/>
                <w:webHidden/>
              </w:rPr>
            </w:r>
            <w:r w:rsidR="00E17EB2">
              <w:rPr>
                <w:noProof/>
                <w:webHidden/>
              </w:rPr>
              <w:fldChar w:fldCharType="separate"/>
            </w:r>
            <w:r w:rsidR="00E17EB2">
              <w:rPr>
                <w:noProof/>
                <w:webHidden/>
              </w:rPr>
              <w:t>7</w:t>
            </w:r>
            <w:r w:rsidR="00E17EB2">
              <w:rPr>
                <w:noProof/>
                <w:webHidden/>
              </w:rPr>
              <w:fldChar w:fldCharType="end"/>
            </w:r>
          </w:hyperlink>
        </w:p>
        <w:p w14:paraId="0AB6C9F4" w14:textId="6F14B85F" w:rsidR="00E17EB2" w:rsidRDefault="002C5D25">
          <w:pPr>
            <w:pStyle w:val="TOC2"/>
            <w:tabs>
              <w:tab w:val="right" w:leader="dot" w:pos="9016"/>
            </w:tabs>
            <w:rPr>
              <w:rFonts w:eastAsiaTheme="minorEastAsia"/>
              <w:noProof/>
              <w:lang w:eastAsia="en-GB"/>
            </w:rPr>
          </w:pPr>
          <w:hyperlink w:anchor="_Toc204260178" w:history="1">
            <w:r w:rsidR="00E17EB2" w:rsidRPr="00311501">
              <w:rPr>
                <w:rStyle w:val="Hyperlink"/>
                <w:rFonts w:ascii="Calibri" w:hAnsi="Calibri" w:cs="Calibri"/>
                <w:b/>
                <w:noProof/>
              </w:rPr>
              <w:t>2.9 AI and software research</w:t>
            </w:r>
            <w:r w:rsidR="00E17EB2">
              <w:rPr>
                <w:noProof/>
                <w:webHidden/>
              </w:rPr>
              <w:tab/>
            </w:r>
            <w:r w:rsidR="00E17EB2">
              <w:rPr>
                <w:noProof/>
                <w:webHidden/>
              </w:rPr>
              <w:fldChar w:fldCharType="begin"/>
            </w:r>
            <w:r w:rsidR="00E17EB2">
              <w:rPr>
                <w:noProof/>
                <w:webHidden/>
              </w:rPr>
              <w:instrText xml:space="preserve"> PAGEREF _Toc204260178 \h </w:instrText>
            </w:r>
            <w:r w:rsidR="00E17EB2">
              <w:rPr>
                <w:noProof/>
                <w:webHidden/>
              </w:rPr>
            </w:r>
            <w:r w:rsidR="00E17EB2">
              <w:rPr>
                <w:noProof/>
                <w:webHidden/>
              </w:rPr>
              <w:fldChar w:fldCharType="separate"/>
            </w:r>
            <w:r w:rsidR="00E17EB2">
              <w:rPr>
                <w:noProof/>
                <w:webHidden/>
              </w:rPr>
              <w:t>8</w:t>
            </w:r>
            <w:r w:rsidR="00E17EB2">
              <w:rPr>
                <w:noProof/>
                <w:webHidden/>
              </w:rPr>
              <w:fldChar w:fldCharType="end"/>
            </w:r>
          </w:hyperlink>
        </w:p>
        <w:p w14:paraId="216E430D" w14:textId="283C3078" w:rsidR="00E17EB2" w:rsidRDefault="002C5D25">
          <w:pPr>
            <w:pStyle w:val="TOC1"/>
            <w:tabs>
              <w:tab w:val="right" w:leader="dot" w:pos="9016"/>
            </w:tabs>
            <w:rPr>
              <w:rFonts w:eastAsiaTheme="minorEastAsia"/>
              <w:noProof/>
              <w:lang w:eastAsia="en-GB"/>
            </w:rPr>
          </w:pPr>
          <w:hyperlink w:anchor="_Toc204260179" w:history="1">
            <w:r w:rsidR="00E17EB2" w:rsidRPr="00311501">
              <w:rPr>
                <w:rStyle w:val="Hyperlink"/>
                <w:rFonts w:ascii="Calibri" w:hAnsi="Calibri" w:cs="Calibri"/>
                <w:b/>
                <w:noProof/>
              </w:rPr>
              <w:t>3. Data handling, storage and processing</w:t>
            </w:r>
            <w:r w:rsidR="00E17EB2">
              <w:rPr>
                <w:noProof/>
                <w:webHidden/>
              </w:rPr>
              <w:tab/>
            </w:r>
            <w:r w:rsidR="00E17EB2">
              <w:rPr>
                <w:noProof/>
                <w:webHidden/>
              </w:rPr>
              <w:fldChar w:fldCharType="begin"/>
            </w:r>
            <w:r w:rsidR="00E17EB2">
              <w:rPr>
                <w:noProof/>
                <w:webHidden/>
              </w:rPr>
              <w:instrText xml:space="preserve"> PAGEREF _Toc204260179 \h </w:instrText>
            </w:r>
            <w:r w:rsidR="00E17EB2">
              <w:rPr>
                <w:noProof/>
                <w:webHidden/>
              </w:rPr>
            </w:r>
            <w:r w:rsidR="00E17EB2">
              <w:rPr>
                <w:noProof/>
                <w:webHidden/>
              </w:rPr>
              <w:fldChar w:fldCharType="separate"/>
            </w:r>
            <w:r w:rsidR="00E17EB2">
              <w:rPr>
                <w:noProof/>
                <w:webHidden/>
              </w:rPr>
              <w:t>8</w:t>
            </w:r>
            <w:r w:rsidR="00E17EB2">
              <w:rPr>
                <w:noProof/>
                <w:webHidden/>
              </w:rPr>
              <w:fldChar w:fldCharType="end"/>
            </w:r>
          </w:hyperlink>
        </w:p>
        <w:p w14:paraId="1E0F000C" w14:textId="6DA47676" w:rsidR="00E17EB2" w:rsidRDefault="002C5D25">
          <w:pPr>
            <w:pStyle w:val="TOC2"/>
            <w:tabs>
              <w:tab w:val="right" w:leader="dot" w:pos="9016"/>
            </w:tabs>
            <w:rPr>
              <w:rFonts w:eastAsiaTheme="minorEastAsia"/>
              <w:noProof/>
              <w:lang w:eastAsia="en-GB"/>
            </w:rPr>
          </w:pPr>
          <w:hyperlink w:anchor="_Toc204260180" w:history="1">
            <w:r w:rsidR="00E17EB2" w:rsidRPr="00311501">
              <w:rPr>
                <w:rStyle w:val="Hyperlink"/>
                <w:rFonts w:ascii="Calibri" w:hAnsi="Calibri" w:cs="Calibri"/>
                <w:b/>
                <w:noProof/>
              </w:rPr>
              <w:t>3.1 Data extraction</w:t>
            </w:r>
            <w:r w:rsidR="00E17EB2">
              <w:rPr>
                <w:noProof/>
                <w:webHidden/>
              </w:rPr>
              <w:tab/>
            </w:r>
            <w:r w:rsidR="00E17EB2">
              <w:rPr>
                <w:noProof/>
                <w:webHidden/>
              </w:rPr>
              <w:fldChar w:fldCharType="begin"/>
            </w:r>
            <w:r w:rsidR="00E17EB2">
              <w:rPr>
                <w:noProof/>
                <w:webHidden/>
              </w:rPr>
              <w:instrText xml:space="preserve"> PAGEREF _Toc204260180 \h </w:instrText>
            </w:r>
            <w:r w:rsidR="00E17EB2">
              <w:rPr>
                <w:noProof/>
                <w:webHidden/>
              </w:rPr>
            </w:r>
            <w:r w:rsidR="00E17EB2">
              <w:rPr>
                <w:noProof/>
                <w:webHidden/>
              </w:rPr>
              <w:fldChar w:fldCharType="separate"/>
            </w:r>
            <w:r w:rsidR="00E17EB2">
              <w:rPr>
                <w:noProof/>
                <w:webHidden/>
              </w:rPr>
              <w:t>8</w:t>
            </w:r>
            <w:r w:rsidR="00E17EB2">
              <w:rPr>
                <w:noProof/>
                <w:webHidden/>
              </w:rPr>
              <w:fldChar w:fldCharType="end"/>
            </w:r>
          </w:hyperlink>
        </w:p>
        <w:p w14:paraId="40819A49" w14:textId="7D2898DE" w:rsidR="00E17EB2" w:rsidRDefault="002C5D25">
          <w:pPr>
            <w:pStyle w:val="TOC2"/>
            <w:tabs>
              <w:tab w:val="right" w:leader="dot" w:pos="9016"/>
            </w:tabs>
            <w:rPr>
              <w:rFonts w:eastAsiaTheme="minorEastAsia"/>
              <w:noProof/>
              <w:lang w:eastAsia="en-GB"/>
            </w:rPr>
          </w:pPr>
          <w:hyperlink w:anchor="_Toc204260181" w:history="1">
            <w:r w:rsidR="00E17EB2" w:rsidRPr="00311501">
              <w:rPr>
                <w:rStyle w:val="Hyperlink"/>
                <w:rFonts w:ascii="Calibri" w:hAnsi="Calibri" w:cs="Calibri"/>
                <w:b/>
                <w:noProof/>
              </w:rPr>
              <w:t>3.2 Approval and data extraction</w:t>
            </w:r>
            <w:r w:rsidR="00E17EB2">
              <w:rPr>
                <w:noProof/>
                <w:webHidden/>
              </w:rPr>
              <w:tab/>
            </w:r>
            <w:r w:rsidR="00E17EB2">
              <w:rPr>
                <w:noProof/>
                <w:webHidden/>
              </w:rPr>
              <w:fldChar w:fldCharType="begin"/>
            </w:r>
            <w:r w:rsidR="00E17EB2">
              <w:rPr>
                <w:noProof/>
                <w:webHidden/>
              </w:rPr>
              <w:instrText xml:space="preserve"> PAGEREF _Toc204260181 \h </w:instrText>
            </w:r>
            <w:r w:rsidR="00E17EB2">
              <w:rPr>
                <w:noProof/>
                <w:webHidden/>
              </w:rPr>
            </w:r>
            <w:r w:rsidR="00E17EB2">
              <w:rPr>
                <w:noProof/>
                <w:webHidden/>
              </w:rPr>
              <w:fldChar w:fldCharType="separate"/>
            </w:r>
            <w:r w:rsidR="00E17EB2">
              <w:rPr>
                <w:noProof/>
                <w:webHidden/>
              </w:rPr>
              <w:t>9</w:t>
            </w:r>
            <w:r w:rsidR="00E17EB2">
              <w:rPr>
                <w:noProof/>
                <w:webHidden/>
              </w:rPr>
              <w:fldChar w:fldCharType="end"/>
            </w:r>
          </w:hyperlink>
        </w:p>
        <w:p w14:paraId="4708B8C3" w14:textId="0FE9436F" w:rsidR="00E17EB2" w:rsidRDefault="002C5D25">
          <w:pPr>
            <w:pStyle w:val="TOC2"/>
            <w:tabs>
              <w:tab w:val="right" w:leader="dot" w:pos="9016"/>
            </w:tabs>
            <w:rPr>
              <w:rFonts w:eastAsiaTheme="minorEastAsia"/>
              <w:noProof/>
              <w:lang w:eastAsia="en-GB"/>
            </w:rPr>
          </w:pPr>
          <w:hyperlink w:anchor="_Toc204260182" w:history="1">
            <w:r w:rsidR="00E17EB2" w:rsidRPr="00311501">
              <w:rPr>
                <w:rStyle w:val="Hyperlink"/>
                <w:rFonts w:ascii="Calibri" w:hAnsi="Calibri" w:cs="Calibri"/>
                <w:b/>
                <w:noProof/>
              </w:rPr>
              <w:t>3.3 De-identification of data</w:t>
            </w:r>
            <w:r w:rsidR="00E17EB2">
              <w:rPr>
                <w:noProof/>
                <w:webHidden/>
              </w:rPr>
              <w:tab/>
            </w:r>
            <w:r w:rsidR="00E17EB2">
              <w:rPr>
                <w:noProof/>
                <w:webHidden/>
              </w:rPr>
              <w:fldChar w:fldCharType="begin"/>
            </w:r>
            <w:r w:rsidR="00E17EB2">
              <w:rPr>
                <w:noProof/>
                <w:webHidden/>
              </w:rPr>
              <w:instrText xml:space="preserve"> PAGEREF _Toc204260182 \h </w:instrText>
            </w:r>
            <w:r w:rsidR="00E17EB2">
              <w:rPr>
                <w:noProof/>
                <w:webHidden/>
              </w:rPr>
            </w:r>
            <w:r w:rsidR="00E17EB2">
              <w:rPr>
                <w:noProof/>
                <w:webHidden/>
              </w:rPr>
              <w:fldChar w:fldCharType="separate"/>
            </w:r>
            <w:r w:rsidR="00E17EB2">
              <w:rPr>
                <w:noProof/>
                <w:webHidden/>
              </w:rPr>
              <w:t>10</w:t>
            </w:r>
            <w:r w:rsidR="00E17EB2">
              <w:rPr>
                <w:noProof/>
                <w:webHidden/>
              </w:rPr>
              <w:fldChar w:fldCharType="end"/>
            </w:r>
          </w:hyperlink>
        </w:p>
        <w:p w14:paraId="34A4ED4D" w14:textId="6CD76C48" w:rsidR="00E17EB2" w:rsidRDefault="002C5D25">
          <w:pPr>
            <w:pStyle w:val="TOC3"/>
            <w:tabs>
              <w:tab w:val="right" w:leader="dot" w:pos="9016"/>
            </w:tabs>
            <w:rPr>
              <w:rFonts w:eastAsiaTheme="minorEastAsia"/>
              <w:noProof/>
              <w:lang w:eastAsia="en-GB"/>
            </w:rPr>
          </w:pPr>
          <w:hyperlink w:anchor="_Toc204260183" w:history="1">
            <w:r w:rsidR="00E17EB2" w:rsidRPr="00311501">
              <w:rPr>
                <w:rStyle w:val="Hyperlink"/>
                <w:rFonts w:ascii="Calibri" w:hAnsi="Calibri" w:cs="Calibri"/>
                <w:bCs/>
                <w:noProof/>
              </w:rPr>
              <w:t>3.3.1 De-identification of data</w:t>
            </w:r>
            <w:r w:rsidR="00E17EB2">
              <w:rPr>
                <w:noProof/>
                <w:webHidden/>
              </w:rPr>
              <w:tab/>
            </w:r>
            <w:r w:rsidR="00E17EB2">
              <w:rPr>
                <w:noProof/>
                <w:webHidden/>
              </w:rPr>
              <w:fldChar w:fldCharType="begin"/>
            </w:r>
            <w:r w:rsidR="00E17EB2">
              <w:rPr>
                <w:noProof/>
                <w:webHidden/>
              </w:rPr>
              <w:instrText xml:space="preserve"> PAGEREF _Toc204260183 \h </w:instrText>
            </w:r>
            <w:r w:rsidR="00E17EB2">
              <w:rPr>
                <w:noProof/>
                <w:webHidden/>
              </w:rPr>
            </w:r>
            <w:r w:rsidR="00E17EB2">
              <w:rPr>
                <w:noProof/>
                <w:webHidden/>
              </w:rPr>
              <w:fldChar w:fldCharType="separate"/>
            </w:r>
            <w:r w:rsidR="00E17EB2">
              <w:rPr>
                <w:noProof/>
                <w:webHidden/>
              </w:rPr>
              <w:t>10</w:t>
            </w:r>
            <w:r w:rsidR="00E17EB2">
              <w:rPr>
                <w:noProof/>
                <w:webHidden/>
              </w:rPr>
              <w:fldChar w:fldCharType="end"/>
            </w:r>
          </w:hyperlink>
        </w:p>
        <w:p w14:paraId="3630825B" w14:textId="2A20C149" w:rsidR="00E17EB2" w:rsidRDefault="002C5D25">
          <w:pPr>
            <w:pStyle w:val="TOC3"/>
            <w:tabs>
              <w:tab w:val="right" w:leader="dot" w:pos="9016"/>
            </w:tabs>
            <w:rPr>
              <w:rFonts w:eastAsiaTheme="minorEastAsia"/>
              <w:noProof/>
              <w:lang w:eastAsia="en-GB"/>
            </w:rPr>
          </w:pPr>
          <w:hyperlink w:anchor="_Toc204260184" w:history="1">
            <w:r w:rsidR="00E17EB2" w:rsidRPr="00311501">
              <w:rPr>
                <w:rStyle w:val="Hyperlink"/>
                <w:rFonts w:ascii="Calibri" w:hAnsi="Calibri" w:cs="Calibri"/>
                <w:bCs/>
                <w:noProof/>
              </w:rPr>
              <w:t>3.3.2 Contextual safeguards</w:t>
            </w:r>
            <w:r w:rsidR="00E17EB2">
              <w:rPr>
                <w:noProof/>
                <w:webHidden/>
              </w:rPr>
              <w:tab/>
            </w:r>
            <w:r w:rsidR="00E17EB2">
              <w:rPr>
                <w:noProof/>
                <w:webHidden/>
              </w:rPr>
              <w:fldChar w:fldCharType="begin"/>
            </w:r>
            <w:r w:rsidR="00E17EB2">
              <w:rPr>
                <w:noProof/>
                <w:webHidden/>
              </w:rPr>
              <w:instrText xml:space="preserve"> PAGEREF _Toc204260184 \h </w:instrText>
            </w:r>
            <w:r w:rsidR="00E17EB2">
              <w:rPr>
                <w:noProof/>
                <w:webHidden/>
              </w:rPr>
            </w:r>
            <w:r w:rsidR="00E17EB2">
              <w:rPr>
                <w:noProof/>
                <w:webHidden/>
              </w:rPr>
              <w:fldChar w:fldCharType="separate"/>
            </w:r>
            <w:r w:rsidR="00E17EB2">
              <w:rPr>
                <w:noProof/>
                <w:webHidden/>
              </w:rPr>
              <w:t>11</w:t>
            </w:r>
            <w:r w:rsidR="00E17EB2">
              <w:rPr>
                <w:noProof/>
                <w:webHidden/>
              </w:rPr>
              <w:fldChar w:fldCharType="end"/>
            </w:r>
          </w:hyperlink>
        </w:p>
        <w:p w14:paraId="7E05BFA9" w14:textId="5DD0F3BF" w:rsidR="00E17EB2" w:rsidRDefault="002C5D25">
          <w:pPr>
            <w:pStyle w:val="TOC2"/>
            <w:tabs>
              <w:tab w:val="right" w:leader="dot" w:pos="9016"/>
            </w:tabs>
            <w:rPr>
              <w:rFonts w:eastAsiaTheme="minorEastAsia"/>
              <w:noProof/>
              <w:lang w:eastAsia="en-GB"/>
            </w:rPr>
          </w:pPr>
          <w:hyperlink w:anchor="_Toc204260185" w:history="1">
            <w:r w:rsidR="00E17EB2" w:rsidRPr="00311501">
              <w:rPr>
                <w:rStyle w:val="Hyperlink"/>
                <w:rFonts w:cstheme="minorHAnsi"/>
                <w:b/>
                <w:bCs/>
                <w:noProof/>
              </w:rPr>
              <w:t>3.4 Data transfer</w:t>
            </w:r>
            <w:r w:rsidR="00E17EB2">
              <w:rPr>
                <w:noProof/>
                <w:webHidden/>
              </w:rPr>
              <w:tab/>
            </w:r>
            <w:r w:rsidR="00E17EB2">
              <w:rPr>
                <w:noProof/>
                <w:webHidden/>
              </w:rPr>
              <w:fldChar w:fldCharType="begin"/>
            </w:r>
            <w:r w:rsidR="00E17EB2">
              <w:rPr>
                <w:noProof/>
                <w:webHidden/>
              </w:rPr>
              <w:instrText xml:space="preserve"> PAGEREF _Toc204260185 \h </w:instrText>
            </w:r>
            <w:r w:rsidR="00E17EB2">
              <w:rPr>
                <w:noProof/>
                <w:webHidden/>
              </w:rPr>
            </w:r>
            <w:r w:rsidR="00E17EB2">
              <w:rPr>
                <w:noProof/>
                <w:webHidden/>
              </w:rPr>
              <w:fldChar w:fldCharType="separate"/>
            </w:r>
            <w:r w:rsidR="00E17EB2">
              <w:rPr>
                <w:noProof/>
                <w:webHidden/>
              </w:rPr>
              <w:t>11</w:t>
            </w:r>
            <w:r w:rsidR="00E17EB2">
              <w:rPr>
                <w:noProof/>
                <w:webHidden/>
              </w:rPr>
              <w:fldChar w:fldCharType="end"/>
            </w:r>
          </w:hyperlink>
        </w:p>
        <w:p w14:paraId="3D96B819" w14:textId="6807235E" w:rsidR="00E17EB2" w:rsidRDefault="002C5D25">
          <w:pPr>
            <w:pStyle w:val="TOC2"/>
            <w:tabs>
              <w:tab w:val="right" w:leader="dot" w:pos="9016"/>
            </w:tabs>
            <w:rPr>
              <w:rFonts w:eastAsiaTheme="minorEastAsia"/>
              <w:noProof/>
              <w:lang w:eastAsia="en-GB"/>
            </w:rPr>
          </w:pPr>
          <w:hyperlink w:anchor="_Toc204260186" w:history="1">
            <w:r w:rsidR="00E17EB2" w:rsidRPr="00311501">
              <w:rPr>
                <w:rStyle w:val="Hyperlink"/>
                <w:rFonts w:cstheme="minorHAnsi"/>
                <w:b/>
                <w:bCs/>
                <w:noProof/>
              </w:rPr>
              <w:t>3.5 Data storage</w:t>
            </w:r>
            <w:r w:rsidR="00E17EB2">
              <w:rPr>
                <w:noProof/>
                <w:webHidden/>
              </w:rPr>
              <w:tab/>
            </w:r>
            <w:r w:rsidR="00E17EB2">
              <w:rPr>
                <w:noProof/>
                <w:webHidden/>
              </w:rPr>
              <w:fldChar w:fldCharType="begin"/>
            </w:r>
            <w:r w:rsidR="00E17EB2">
              <w:rPr>
                <w:noProof/>
                <w:webHidden/>
              </w:rPr>
              <w:instrText xml:space="preserve"> PAGEREF _Toc204260186 \h </w:instrText>
            </w:r>
            <w:r w:rsidR="00E17EB2">
              <w:rPr>
                <w:noProof/>
                <w:webHidden/>
              </w:rPr>
            </w:r>
            <w:r w:rsidR="00E17EB2">
              <w:rPr>
                <w:noProof/>
                <w:webHidden/>
              </w:rPr>
              <w:fldChar w:fldCharType="separate"/>
            </w:r>
            <w:r w:rsidR="00E17EB2">
              <w:rPr>
                <w:noProof/>
                <w:webHidden/>
              </w:rPr>
              <w:t>12</w:t>
            </w:r>
            <w:r w:rsidR="00E17EB2">
              <w:rPr>
                <w:noProof/>
                <w:webHidden/>
              </w:rPr>
              <w:fldChar w:fldCharType="end"/>
            </w:r>
          </w:hyperlink>
        </w:p>
        <w:p w14:paraId="5A215ABE" w14:textId="5C61B000" w:rsidR="00E17EB2" w:rsidRDefault="002C5D25">
          <w:pPr>
            <w:pStyle w:val="TOC1"/>
            <w:tabs>
              <w:tab w:val="right" w:leader="dot" w:pos="9016"/>
            </w:tabs>
            <w:rPr>
              <w:rFonts w:eastAsiaTheme="minorEastAsia"/>
              <w:noProof/>
              <w:lang w:eastAsia="en-GB"/>
            </w:rPr>
          </w:pPr>
          <w:hyperlink w:anchor="_Toc204260187" w:history="1">
            <w:r w:rsidR="00E17EB2" w:rsidRPr="00311501">
              <w:rPr>
                <w:rStyle w:val="Hyperlink"/>
                <w:rFonts w:ascii="Calibri" w:hAnsi="Calibri" w:cs="Calibri"/>
                <w:b/>
                <w:noProof/>
              </w:rPr>
              <w:t>4. After your study is approved</w:t>
            </w:r>
            <w:r w:rsidR="00E17EB2">
              <w:rPr>
                <w:noProof/>
                <w:webHidden/>
              </w:rPr>
              <w:tab/>
            </w:r>
            <w:r w:rsidR="00E17EB2">
              <w:rPr>
                <w:noProof/>
                <w:webHidden/>
              </w:rPr>
              <w:fldChar w:fldCharType="begin"/>
            </w:r>
            <w:r w:rsidR="00E17EB2">
              <w:rPr>
                <w:noProof/>
                <w:webHidden/>
              </w:rPr>
              <w:instrText xml:space="preserve"> PAGEREF _Toc204260187 \h </w:instrText>
            </w:r>
            <w:r w:rsidR="00E17EB2">
              <w:rPr>
                <w:noProof/>
                <w:webHidden/>
              </w:rPr>
            </w:r>
            <w:r w:rsidR="00E17EB2">
              <w:rPr>
                <w:noProof/>
                <w:webHidden/>
              </w:rPr>
              <w:fldChar w:fldCharType="separate"/>
            </w:r>
            <w:r w:rsidR="00E17EB2">
              <w:rPr>
                <w:noProof/>
                <w:webHidden/>
              </w:rPr>
              <w:t>12</w:t>
            </w:r>
            <w:r w:rsidR="00E17EB2">
              <w:rPr>
                <w:noProof/>
                <w:webHidden/>
              </w:rPr>
              <w:fldChar w:fldCharType="end"/>
            </w:r>
          </w:hyperlink>
        </w:p>
        <w:p w14:paraId="4CA305B0" w14:textId="59A33383" w:rsidR="00E17EB2" w:rsidRDefault="002C5D25">
          <w:pPr>
            <w:pStyle w:val="TOC2"/>
            <w:tabs>
              <w:tab w:val="right" w:leader="dot" w:pos="9016"/>
            </w:tabs>
            <w:rPr>
              <w:rFonts w:eastAsiaTheme="minorEastAsia"/>
              <w:noProof/>
              <w:lang w:eastAsia="en-GB"/>
            </w:rPr>
          </w:pPr>
          <w:hyperlink w:anchor="_Toc204260188" w:history="1">
            <w:r w:rsidR="00E17EB2" w:rsidRPr="00311501">
              <w:rPr>
                <w:rStyle w:val="Hyperlink"/>
                <w:rFonts w:ascii="Calibri" w:hAnsi="Calibri" w:cs="Calibri"/>
                <w:b/>
                <w:noProof/>
              </w:rPr>
              <w:t>4.1 Amendments</w:t>
            </w:r>
            <w:r w:rsidR="00E17EB2">
              <w:rPr>
                <w:noProof/>
                <w:webHidden/>
              </w:rPr>
              <w:tab/>
            </w:r>
            <w:r w:rsidR="00E17EB2">
              <w:rPr>
                <w:noProof/>
                <w:webHidden/>
              </w:rPr>
              <w:fldChar w:fldCharType="begin"/>
            </w:r>
            <w:r w:rsidR="00E17EB2">
              <w:rPr>
                <w:noProof/>
                <w:webHidden/>
              </w:rPr>
              <w:instrText xml:space="preserve"> PAGEREF _Toc204260188 \h </w:instrText>
            </w:r>
            <w:r w:rsidR="00E17EB2">
              <w:rPr>
                <w:noProof/>
                <w:webHidden/>
              </w:rPr>
            </w:r>
            <w:r w:rsidR="00E17EB2">
              <w:rPr>
                <w:noProof/>
                <w:webHidden/>
              </w:rPr>
              <w:fldChar w:fldCharType="separate"/>
            </w:r>
            <w:r w:rsidR="00E17EB2">
              <w:rPr>
                <w:noProof/>
                <w:webHidden/>
              </w:rPr>
              <w:t>12</w:t>
            </w:r>
            <w:r w:rsidR="00E17EB2">
              <w:rPr>
                <w:noProof/>
                <w:webHidden/>
              </w:rPr>
              <w:fldChar w:fldCharType="end"/>
            </w:r>
          </w:hyperlink>
        </w:p>
        <w:p w14:paraId="251E0289" w14:textId="7BD1A8D2" w:rsidR="00E17EB2" w:rsidRDefault="002C5D25">
          <w:pPr>
            <w:pStyle w:val="TOC2"/>
            <w:tabs>
              <w:tab w:val="right" w:leader="dot" w:pos="9016"/>
            </w:tabs>
            <w:rPr>
              <w:rFonts w:eastAsiaTheme="minorEastAsia"/>
              <w:noProof/>
              <w:lang w:eastAsia="en-GB"/>
            </w:rPr>
          </w:pPr>
          <w:hyperlink w:anchor="_Toc204260189" w:history="1">
            <w:r w:rsidR="00E17EB2" w:rsidRPr="00311501">
              <w:rPr>
                <w:rStyle w:val="Hyperlink"/>
                <w:rFonts w:ascii="Calibri" w:hAnsi="Calibri" w:cs="Calibri"/>
                <w:b/>
                <w:noProof/>
              </w:rPr>
              <w:t>4.2 Communication and dissemination</w:t>
            </w:r>
            <w:r w:rsidR="00E17EB2">
              <w:rPr>
                <w:noProof/>
                <w:webHidden/>
              </w:rPr>
              <w:tab/>
            </w:r>
            <w:r w:rsidR="00E17EB2">
              <w:rPr>
                <w:noProof/>
                <w:webHidden/>
              </w:rPr>
              <w:fldChar w:fldCharType="begin"/>
            </w:r>
            <w:r w:rsidR="00E17EB2">
              <w:rPr>
                <w:noProof/>
                <w:webHidden/>
              </w:rPr>
              <w:instrText xml:space="preserve"> PAGEREF _Toc204260189 \h </w:instrText>
            </w:r>
            <w:r w:rsidR="00E17EB2">
              <w:rPr>
                <w:noProof/>
                <w:webHidden/>
              </w:rPr>
            </w:r>
            <w:r w:rsidR="00E17EB2">
              <w:rPr>
                <w:noProof/>
                <w:webHidden/>
              </w:rPr>
              <w:fldChar w:fldCharType="separate"/>
            </w:r>
            <w:r w:rsidR="00E17EB2">
              <w:rPr>
                <w:noProof/>
                <w:webHidden/>
              </w:rPr>
              <w:t>12</w:t>
            </w:r>
            <w:r w:rsidR="00E17EB2">
              <w:rPr>
                <w:noProof/>
                <w:webHidden/>
              </w:rPr>
              <w:fldChar w:fldCharType="end"/>
            </w:r>
          </w:hyperlink>
        </w:p>
        <w:p w14:paraId="0B541432" w14:textId="5676987E" w:rsidR="00E17EB2" w:rsidRDefault="002C5D25">
          <w:pPr>
            <w:pStyle w:val="TOC2"/>
            <w:tabs>
              <w:tab w:val="right" w:leader="dot" w:pos="9016"/>
            </w:tabs>
            <w:rPr>
              <w:rFonts w:eastAsiaTheme="minorEastAsia"/>
              <w:noProof/>
              <w:lang w:eastAsia="en-GB"/>
            </w:rPr>
          </w:pPr>
          <w:hyperlink w:anchor="_Toc204260190" w:history="1">
            <w:r w:rsidR="00E17EB2" w:rsidRPr="00311501">
              <w:rPr>
                <w:rStyle w:val="Hyperlink"/>
                <w:rFonts w:ascii="Calibri" w:hAnsi="Calibri" w:cs="Calibri"/>
                <w:b/>
                <w:noProof/>
              </w:rPr>
              <w:t>4.3 End of Study</w:t>
            </w:r>
            <w:r w:rsidR="00E17EB2">
              <w:rPr>
                <w:noProof/>
                <w:webHidden/>
              </w:rPr>
              <w:tab/>
            </w:r>
            <w:r w:rsidR="00E17EB2">
              <w:rPr>
                <w:noProof/>
                <w:webHidden/>
              </w:rPr>
              <w:fldChar w:fldCharType="begin"/>
            </w:r>
            <w:r w:rsidR="00E17EB2">
              <w:rPr>
                <w:noProof/>
                <w:webHidden/>
              </w:rPr>
              <w:instrText xml:space="preserve"> PAGEREF _Toc204260190 \h </w:instrText>
            </w:r>
            <w:r w:rsidR="00E17EB2">
              <w:rPr>
                <w:noProof/>
                <w:webHidden/>
              </w:rPr>
            </w:r>
            <w:r w:rsidR="00E17EB2">
              <w:rPr>
                <w:noProof/>
                <w:webHidden/>
              </w:rPr>
              <w:fldChar w:fldCharType="separate"/>
            </w:r>
            <w:r w:rsidR="00E17EB2">
              <w:rPr>
                <w:noProof/>
                <w:webHidden/>
              </w:rPr>
              <w:t>13</w:t>
            </w:r>
            <w:r w:rsidR="00E17EB2">
              <w:rPr>
                <w:noProof/>
                <w:webHidden/>
              </w:rPr>
              <w:fldChar w:fldCharType="end"/>
            </w:r>
          </w:hyperlink>
        </w:p>
        <w:p w14:paraId="33976E26" w14:textId="04F5D704" w:rsidR="00E17EB2" w:rsidRDefault="002C5D25">
          <w:pPr>
            <w:pStyle w:val="TOC1"/>
            <w:tabs>
              <w:tab w:val="right" w:leader="dot" w:pos="9016"/>
            </w:tabs>
            <w:rPr>
              <w:rFonts w:eastAsiaTheme="minorEastAsia"/>
              <w:noProof/>
              <w:lang w:eastAsia="en-GB"/>
            </w:rPr>
          </w:pPr>
          <w:hyperlink w:anchor="_Toc204260191" w:history="1">
            <w:r w:rsidR="00E17EB2" w:rsidRPr="00311501">
              <w:rPr>
                <w:rStyle w:val="Hyperlink"/>
                <w:rFonts w:ascii="Calibri" w:hAnsi="Calibri" w:cs="Calibri"/>
                <w:b/>
                <w:noProof/>
              </w:rPr>
              <w:t>List of definitions</w:t>
            </w:r>
            <w:r w:rsidR="00E17EB2">
              <w:rPr>
                <w:noProof/>
                <w:webHidden/>
              </w:rPr>
              <w:tab/>
            </w:r>
            <w:r w:rsidR="00E17EB2">
              <w:rPr>
                <w:noProof/>
                <w:webHidden/>
              </w:rPr>
              <w:fldChar w:fldCharType="begin"/>
            </w:r>
            <w:r w:rsidR="00E17EB2">
              <w:rPr>
                <w:noProof/>
                <w:webHidden/>
              </w:rPr>
              <w:instrText xml:space="preserve"> PAGEREF _Toc204260191 \h </w:instrText>
            </w:r>
            <w:r w:rsidR="00E17EB2">
              <w:rPr>
                <w:noProof/>
                <w:webHidden/>
              </w:rPr>
            </w:r>
            <w:r w:rsidR="00E17EB2">
              <w:rPr>
                <w:noProof/>
                <w:webHidden/>
              </w:rPr>
              <w:fldChar w:fldCharType="separate"/>
            </w:r>
            <w:r w:rsidR="00E17EB2">
              <w:rPr>
                <w:noProof/>
                <w:webHidden/>
              </w:rPr>
              <w:t>14</w:t>
            </w:r>
            <w:r w:rsidR="00E17EB2">
              <w:rPr>
                <w:noProof/>
                <w:webHidden/>
              </w:rPr>
              <w:fldChar w:fldCharType="end"/>
            </w:r>
          </w:hyperlink>
        </w:p>
        <w:p w14:paraId="5369732F" w14:textId="2EF16CDD" w:rsidR="00E17EB2" w:rsidRDefault="002C5D25">
          <w:pPr>
            <w:pStyle w:val="TOC1"/>
            <w:tabs>
              <w:tab w:val="right" w:leader="dot" w:pos="9016"/>
            </w:tabs>
            <w:rPr>
              <w:rFonts w:eastAsiaTheme="minorEastAsia"/>
              <w:noProof/>
              <w:lang w:eastAsia="en-GB"/>
            </w:rPr>
          </w:pPr>
          <w:hyperlink w:anchor="_Toc204260192" w:history="1">
            <w:r w:rsidR="00E17EB2" w:rsidRPr="00311501">
              <w:rPr>
                <w:rStyle w:val="Hyperlink"/>
                <w:rFonts w:ascii="Calibri" w:hAnsi="Calibri" w:cs="Calibri"/>
                <w:b/>
                <w:noProof/>
              </w:rPr>
              <w:t>References and further information</w:t>
            </w:r>
            <w:r w:rsidR="00E17EB2">
              <w:rPr>
                <w:noProof/>
                <w:webHidden/>
              </w:rPr>
              <w:tab/>
            </w:r>
            <w:r w:rsidR="00E17EB2">
              <w:rPr>
                <w:noProof/>
                <w:webHidden/>
              </w:rPr>
              <w:fldChar w:fldCharType="begin"/>
            </w:r>
            <w:r w:rsidR="00E17EB2">
              <w:rPr>
                <w:noProof/>
                <w:webHidden/>
              </w:rPr>
              <w:instrText xml:space="preserve"> PAGEREF _Toc204260192 \h </w:instrText>
            </w:r>
            <w:r w:rsidR="00E17EB2">
              <w:rPr>
                <w:noProof/>
                <w:webHidden/>
              </w:rPr>
            </w:r>
            <w:r w:rsidR="00E17EB2">
              <w:rPr>
                <w:noProof/>
                <w:webHidden/>
              </w:rPr>
              <w:fldChar w:fldCharType="separate"/>
            </w:r>
            <w:r w:rsidR="00E17EB2">
              <w:rPr>
                <w:noProof/>
                <w:webHidden/>
              </w:rPr>
              <w:t>16</w:t>
            </w:r>
            <w:r w:rsidR="00E17EB2">
              <w:rPr>
                <w:noProof/>
                <w:webHidden/>
              </w:rPr>
              <w:fldChar w:fldCharType="end"/>
            </w:r>
          </w:hyperlink>
        </w:p>
        <w:p w14:paraId="419664EF" w14:textId="173B615C" w:rsidR="00A06730" w:rsidRDefault="00E83E7C" w:rsidP="00E17EB2">
          <w:pPr>
            <w:jc w:val="both"/>
            <w:rPr>
              <w:rFonts w:ascii="Calibri" w:hAnsi="Calibri" w:cs="Calibri"/>
              <w:b/>
              <w:color w:val="000000" w:themeColor="text1"/>
              <w:u w:val="single"/>
            </w:rPr>
          </w:pPr>
          <w:r>
            <w:rPr>
              <w:b/>
              <w:bCs/>
              <w:noProof/>
            </w:rPr>
            <w:fldChar w:fldCharType="end"/>
          </w:r>
        </w:p>
      </w:sdtContent>
    </w:sdt>
    <w:p w14:paraId="1E943DC6" w14:textId="77777777" w:rsidR="00E17EB2" w:rsidRDefault="00E17EB2" w:rsidP="00E17EB2">
      <w:pPr>
        <w:pStyle w:val="Heading1"/>
        <w:jc w:val="both"/>
        <w:rPr>
          <w:rFonts w:ascii="Calibri" w:hAnsi="Calibri" w:cs="Calibri"/>
          <w:b/>
          <w:color w:val="000000" w:themeColor="text1"/>
          <w:sz w:val="28"/>
          <w:szCs w:val="28"/>
        </w:rPr>
      </w:pPr>
    </w:p>
    <w:p w14:paraId="035B8CCA" w14:textId="34438D65" w:rsidR="00E83E7C" w:rsidRPr="00455374" w:rsidRDefault="00A05AD9" w:rsidP="00E17EB2">
      <w:pPr>
        <w:pStyle w:val="Heading1"/>
        <w:jc w:val="both"/>
        <w:rPr>
          <w:rFonts w:ascii="Calibri" w:hAnsi="Calibri" w:cs="Calibri"/>
          <w:b/>
          <w:color w:val="000000" w:themeColor="text1"/>
          <w:sz w:val="28"/>
          <w:szCs w:val="28"/>
        </w:rPr>
      </w:pPr>
      <w:bookmarkStart w:id="0" w:name="_Toc204260162"/>
      <w:r w:rsidRPr="00455374">
        <w:rPr>
          <w:rFonts w:ascii="Calibri" w:hAnsi="Calibri" w:cs="Calibri"/>
          <w:b/>
          <w:color w:val="000000" w:themeColor="text1"/>
          <w:sz w:val="28"/>
          <w:szCs w:val="28"/>
        </w:rPr>
        <w:t>List of acronyms</w:t>
      </w:r>
      <w:bookmarkEnd w:id="0"/>
    </w:p>
    <w:p w14:paraId="0E8AC31E" w14:textId="616C804F" w:rsidR="00A06730" w:rsidRDefault="00A06730" w:rsidP="00E17EB2">
      <w:pPr>
        <w:jc w:val="both"/>
        <w:rPr>
          <w:rFonts w:ascii="Calibri" w:hAnsi="Calibri" w:cs="Calibri"/>
        </w:rPr>
      </w:pPr>
    </w:p>
    <w:p w14:paraId="66B6CCDF" w14:textId="11479030" w:rsidR="00A06730" w:rsidRDefault="00A06730" w:rsidP="00E17EB2">
      <w:pPr>
        <w:jc w:val="both"/>
        <w:rPr>
          <w:rFonts w:ascii="Calibri" w:hAnsi="Calibri" w:cs="Calibri"/>
        </w:rPr>
      </w:pPr>
      <w:r>
        <w:rPr>
          <w:rFonts w:ascii="Calibri" w:hAnsi="Calibri" w:cs="Calibri"/>
        </w:rPr>
        <w:t>AI Artificial Intelligence</w:t>
      </w:r>
    </w:p>
    <w:p w14:paraId="0173470D" w14:textId="12B9A283" w:rsidR="00A05AD9" w:rsidRDefault="00A05AD9" w:rsidP="00E17EB2">
      <w:pPr>
        <w:jc w:val="both"/>
        <w:rPr>
          <w:rFonts w:ascii="Calibri" w:hAnsi="Calibri" w:cs="Calibri"/>
        </w:rPr>
      </w:pPr>
      <w:r>
        <w:rPr>
          <w:rFonts w:ascii="Calibri" w:hAnsi="Calibri" w:cs="Calibri"/>
        </w:rPr>
        <w:t xml:space="preserve">BRC Biomedical </w:t>
      </w:r>
      <w:r w:rsidR="00F67829">
        <w:rPr>
          <w:rFonts w:ascii="Calibri" w:hAnsi="Calibri" w:cs="Calibri"/>
        </w:rPr>
        <w:t>R</w:t>
      </w:r>
      <w:r>
        <w:rPr>
          <w:rFonts w:ascii="Calibri" w:hAnsi="Calibri" w:cs="Calibri"/>
        </w:rPr>
        <w:t>esearch Centre</w:t>
      </w:r>
    </w:p>
    <w:p w14:paraId="617E9029" w14:textId="6D069CDA" w:rsidR="00A05AD9" w:rsidRDefault="00A05AD9" w:rsidP="00E17EB2">
      <w:pPr>
        <w:jc w:val="both"/>
        <w:rPr>
          <w:rFonts w:ascii="Calibri" w:hAnsi="Calibri" w:cs="Calibri"/>
        </w:rPr>
      </w:pPr>
      <w:r>
        <w:rPr>
          <w:rFonts w:ascii="Calibri" w:hAnsi="Calibri" w:cs="Calibri"/>
        </w:rPr>
        <w:t>CI Chief Investigator</w:t>
      </w:r>
    </w:p>
    <w:p w14:paraId="71FC2B0D" w14:textId="217BE756" w:rsidR="00A06730" w:rsidRDefault="00A06730" w:rsidP="00E17EB2">
      <w:pPr>
        <w:jc w:val="both"/>
        <w:rPr>
          <w:rFonts w:ascii="Calibri" w:hAnsi="Calibri" w:cs="Calibri"/>
        </w:rPr>
      </w:pPr>
      <w:r w:rsidRPr="00A06730">
        <w:rPr>
          <w:rFonts w:ascii="Calibri" w:hAnsi="Calibri" w:cs="Calibri"/>
        </w:rPr>
        <w:t>CUH Cambridge University Hospitals</w:t>
      </w:r>
    </w:p>
    <w:p w14:paraId="2966961A" w14:textId="1BA1AAE0" w:rsidR="0061036C" w:rsidRDefault="0061036C" w:rsidP="00E17EB2">
      <w:pPr>
        <w:jc w:val="both"/>
        <w:rPr>
          <w:rFonts w:ascii="Calibri" w:hAnsi="Calibri" w:cs="Calibri"/>
        </w:rPr>
      </w:pPr>
      <w:r>
        <w:rPr>
          <w:rFonts w:ascii="Calibri" w:hAnsi="Calibri" w:cs="Calibri"/>
        </w:rPr>
        <w:t>DAC Data Access Committee</w:t>
      </w:r>
    </w:p>
    <w:p w14:paraId="2425037B" w14:textId="48F3D4AB" w:rsidR="000014CE" w:rsidRDefault="000014CE" w:rsidP="00E17EB2">
      <w:pPr>
        <w:jc w:val="both"/>
        <w:rPr>
          <w:rFonts w:ascii="Calibri" w:hAnsi="Calibri" w:cs="Calibri"/>
        </w:rPr>
      </w:pPr>
      <w:r>
        <w:rPr>
          <w:rFonts w:ascii="Calibri" w:hAnsi="Calibri" w:cs="Calibri"/>
        </w:rPr>
        <w:t>Data team = Data and AI Research Governance Team</w:t>
      </w:r>
    </w:p>
    <w:p w14:paraId="0E3E4F2B" w14:textId="5C522BCF" w:rsidR="004B505D" w:rsidRDefault="004B505D" w:rsidP="00E17EB2">
      <w:pPr>
        <w:jc w:val="both"/>
        <w:rPr>
          <w:rFonts w:ascii="Calibri" w:hAnsi="Calibri" w:cs="Calibri"/>
        </w:rPr>
      </w:pPr>
      <w:r>
        <w:rPr>
          <w:rFonts w:ascii="Calibri" w:hAnsi="Calibri" w:cs="Calibri"/>
        </w:rPr>
        <w:t>DOB Date of Birth</w:t>
      </w:r>
    </w:p>
    <w:p w14:paraId="17DB0DB4" w14:textId="7707D826" w:rsidR="00AE4343" w:rsidRDefault="00AE4343" w:rsidP="00E17EB2">
      <w:pPr>
        <w:jc w:val="both"/>
        <w:rPr>
          <w:rFonts w:ascii="Calibri" w:hAnsi="Calibri" w:cs="Calibri"/>
        </w:rPr>
      </w:pPr>
      <w:r>
        <w:rPr>
          <w:rFonts w:ascii="Calibri" w:hAnsi="Calibri" w:cs="Calibri"/>
        </w:rPr>
        <w:t>DP Data Protection</w:t>
      </w:r>
    </w:p>
    <w:p w14:paraId="37D8A9C9" w14:textId="10AC29AB" w:rsidR="00A05AD9" w:rsidRDefault="00A06730" w:rsidP="00E17EB2">
      <w:pPr>
        <w:jc w:val="both"/>
        <w:rPr>
          <w:rFonts w:ascii="Calibri" w:hAnsi="Calibri" w:cs="Calibri"/>
        </w:rPr>
      </w:pPr>
      <w:r>
        <w:rPr>
          <w:rFonts w:ascii="Calibri" w:hAnsi="Calibri" w:cs="Calibri"/>
        </w:rPr>
        <w:t>DPA Data Protection Act 2018</w:t>
      </w:r>
    </w:p>
    <w:p w14:paraId="1A017E68" w14:textId="0F9FB2E8" w:rsidR="00926E70" w:rsidRDefault="00926E70" w:rsidP="00E17EB2">
      <w:pPr>
        <w:jc w:val="both"/>
        <w:rPr>
          <w:rFonts w:ascii="Calibri" w:hAnsi="Calibri" w:cs="Calibri"/>
        </w:rPr>
      </w:pPr>
      <w:r>
        <w:rPr>
          <w:rFonts w:ascii="Calibri" w:hAnsi="Calibri" w:cs="Calibri"/>
        </w:rPr>
        <w:t xml:space="preserve">DSPT </w:t>
      </w:r>
      <w:r>
        <w:t>Data Security and Protection Toolkit</w:t>
      </w:r>
    </w:p>
    <w:p w14:paraId="4A59ED5F" w14:textId="766A0E76" w:rsidR="00A06730" w:rsidRDefault="00A06730" w:rsidP="00E17EB2">
      <w:pPr>
        <w:jc w:val="both"/>
        <w:rPr>
          <w:rFonts w:ascii="Calibri" w:hAnsi="Calibri" w:cs="Calibri"/>
        </w:rPr>
      </w:pPr>
      <w:r>
        <w:rPr>
          <w:rFonts w:ascii="Calibri" w:hAnsi="Calibri" w:cs="Calibri"/>
        </w:rPr>
        <w:t>E</w:t>
      </w:r>
      <w:r w:rsidR="0097658D">
        <w:rPr>
          <w:rFonts w:ascii="Calibri" w:hAnsi="Calibri" w:cs="Calibri"/>
        </w:rPr>
        <w:t>H</w:t>
      </w:r>
      <w:r>
        <w:rPr>
          <w:rFonts w:ascii="Calibri" w:hAnsi="Calibri" w:cs="Calibri"/>
        </w:rPr>
        <w:t xml:space="preserve">R Electronic </w:t>
      </w:r>
      <w:r w:rsidR="0097658D">
        <w:rPr>
          <w:rFonts w:ascii="Calibri" w:hAnsi="Calibri" w:cs="Calibri"/>
        </w:rPr>
        <w:t>Health</w:t>
      </w:r>
      <w:r>
        <w:rPr>
          <w:rFonts w:ascii="Calibri" w:hAnsi="Calibri" w:cs="Calibri"/>
        </w:rPr>
        <w:t xml:space="preserve"> Record</w:t>
      </w:r>
    </w:p>
    <w:p w14:paraId="00487408" w14:textId="4F94BC85" w:rsidR="0061036C" w:rsidRDefault="0061036C" w:rsidP="00E17EB2">
      <w:pPr>
        <w:jc w:val="both"/>
        <w:rPr>
          <w:rFonts w:ascii="Calibri" w:hAnsi="Calibri" w:cs="Calibri"/>
        </w:rPr>
      </w:pPr>
      <w:r>
        <w:rPr>
          <w:rFonts w:ascii="Calibri" w:hAnsi="Calibri" w:cs="Calibri"/>
        </w:rPr>
        <w:t>ERIN EHR Research and Innovation</w:t>
      </w:r>
    </w:p>
    <w:p w14:paraId="4393C437" w14:textId="57099745" w:rsidR="00A06730" w:rsidRDefault="00A06730" w:rsidP="00E17EB2">
      <w:pPr>
        <w:jc w:val="both"/>
        <w:rPr>
          <w:rFonts w:ascii="Calibri" w:hAnsi="Calibri" w:cs="Calibri"/>
        </w:rPr>
      </w:pPr>
      <w:r>
        <w:rPr>
          <w:rFonts w:ascii="Calibri" w:hAnsi="Calibri" w:cs="Calibri"/>
        </w:rPr>
        <w:t>GDPR General Data Protection Regulation</w:t>
      </w:r>
    </w:p>
    <w:p w14:paraId="25FD2815" w14:textId="0974CC23" w:rsidR="00A06730" w:rsidRDefault="00A06730" w:rsidP="00E17EB2">
      <w:pPr>
        <w:jc w:val="both"/>
        <w:rPr>
          <w:rFonts w:ascii="Calibri" w:hAnsi="Calibri" w:cs="Calibri"/>
        </w:rPr>
      </w:pPr>
      <w:r>
        <w:rPr>
          <w:rFonts w:ascii="Calibri" w:hAnsi="Calibri" w:cs="Calibri"/>
        </w:rPr>
        <w:t>HRA Health Research Authority</w:t>
      </w:r>
    </w:p>
    <w:p w14:paraId="4E298BAF" w14:textId="64874188" w:rsidR="009E651B" w:rsidRDefault="009E651B" w:rsidP="00E17EB2">
      <w:pPr>
        <w:jc w:val="both"/>
        <w:rPr>
          <w:rFonts w:ascii="Calibri" w:hAnsi="Calibri" w:cs="Calibri"/>
        </w:rPr>
      </w:pPr>
      <w:r>
        <w:rPr>
          <w:rFonts w:ascii="Calibri" w:hAnsi="Calibri" w:cs="Calibri"/>
        </w:rPr>
        <w:t xml:space="preserve">ICD </w:t>
      </w:r>
      <w:r w:rsidRPr="009E651B">
        <w:rPr>
          <w:rFonts w:ascii="Calibri" w:hAnsi="Calibri" w:cs="Calibri"/>
        </w:rPr>
        <w:t>International Classification of Diseases</w:t>
      </w:r>
    </w:p>
    <w:p w14:paraId="60C7FE14" w14:textId="18111B47" w:rsidR="007C0AF0" w:rsidRDefault="007C0AF0" w:rsidP="00E17EB2">
      <w:pPr>
        <w:jc w:val="both"/>
        <w:rPr>
          <w:rFonts w:ascii="Calibri" w:hAnsi="Calibri" w:cs="Calibri"/>
        </w:rPr>
      </w:pPr>
      <w:r>
        <w:rPr>
          <w:rFonts w:ascii="Calibri" w:hAnsi="Calibri" w:cs="Calibri"/>
        </w:rPr>
        <w:t>ICO Information Commissioner</w:t>
      </w:r>
      <w:r w:rsidR="00E56CEC">
        <w:rPr>
          <w:rFonts w:ascii="Calibri" w:hAnsi="Calibri" w:cs="Calibri"/>
        </w:rPr>
        <w:t>’</w:t>
      </w:r>
      <w:r>
        <w:rPr>
          <w:rFonts w:ascii="Calibri" w:hAnsi="Calibri" w:cs="Calibri"/>
        </w:rPr>
        <w:t xml:space="preserve">s </w:t>
      </w:r>
      <w:r w:rsidR="00E56CEC">
        <w:rPr>
          <w:rFonts w:ascii="Calibri" w:hAnsi="Calibri" w:cs="Calibri"/>
        </w:rPr>
        <w:t>O</w:t>
      </w:r>
      <w:r>
        <w:rPr>
          <w:rFonts w:ascii="Calibri" w:hAnsi="Calibri" w:cs="Calibri"/>
        </w:rPr>
        <w:t>ffice</w:t>
      </w:r>
    </w:p>
    <w:p w14:paraId="1962C2EF" w14:textId="56B1D396" w:rsidR="00A05AD9" w:rsidRDefault="00A05AD9" w:rsidP="00E17EB2">
      <w:pPr>
        <w:jc w:val="both"/>
        <w:rPr>
          <w:rFonts w:ascii="Calibri" w:hAnsi="Calibri" w:cs="Calibri"/>
        </w:rPr>
      </w:pPr>
      <w:r>
        <w:rPr>
          <w:rFonts w:ascii="Calibri" w:hAnsi="Calibri" w:cs="Calibri"/>
        </w:rPr>
        <w:t>IG Information Governance</w:t>
      </w:r>
    </w:p>
    <w:p w14:paraId="5FEABBB4" w14:textId="77777777" w:rsidR="00926E70" w:rsidRDefault="00A05AD9" w:rsidP="00E17EB2">
      <w:pPr>
        <w:tabs>
          <w:tab w:val="left" w:pos="4545"/>
        </w:tabs>
        <w:jc w:val="both"/>
        <w:rPr>
          <w:rFonts w:ascii="Calibri" w:hAnsi="Calibri" w:cs="Calibri"/>
        </w:rPr>
      </w:pPr>
      <w:r>
        <w:rPr>
          <w:rFonts w:ascii="Calibri" w:hAnsi="Calibri" w:cs="Calibri"/>
        </w:rPr>
        <w:t>IRAS Integrated Research Application System</w:t>
      </w:r>
    </w:p>
    <w:p w14:paraId="7F0F01FF" w14:textId="635027EA" w:rsidR="00A05AD9" w:rsidRDefault="00926E70" w:rsidP="00E17EB2">
      <w:pPr>
        <w:tabs>
          <w:tab w:val="left" w:pos="4545"/>
        </w:tabs>
        <w:jc w:val="both"/>
        <w:rPr>
          <w:rFonts w:ascii="Calibri" w:hAnsi="Calibri" w:cs="Calibri"/>
        </w:rPr>
      </w:pPr>
      <w:r>
        <w:rPr>
          <w:rFonts w:ascii="Calibri" w:hAnsi="Calibri" w:cs="Calibri"/>
        </w:rPr>
        <w:t xml:space="preserve">ISO </w:t>
      </w:r>
      <w:r w:rsidR="005838B0">
        <w:t>International</w:t>
      </w:r>
      <w:r>
        <w:t xml:space="preserve"> Security Organisation</w:t>
      </w:r>
      <w:r w:rsidR="00162065">
        <w:rPr>
          <w:rFonts w:ascii="Calibri" w:hAnsi="Calibri" w:cs="Calibri"/>
        </w:rPr>
        <w:tab/>
      </w:r>
    </w:p>
    <w:p w14:paraId="07E776B9" w14:textId="0B42E541" w:rsidR="00162065" w:rsidRDefault="00162065" w:rsidP="00E17EB2">
      <w:pPr>
        <w:tabs>
          <w:tab w:val="left" w:pos="4545"/>
        </w:tabs>
        <w:jc w:val="both"/>
        <w:rPr>
          <w:rFonts w:ascii="Calibri" w:hAnsi="Calibri" w:cs="Calibri"/>
        </w:rPr>
      </w:pPr>
      <w:r>
        <w:rPr>
          <w:rFonts w:ascii="Calibri" w:hAnsi="Calibri" w:cs="Calibri"/>
        </w:rPr>
        <w:t>LIP</w:t>
      </w:r>
      <w:r w:rsidR="00D6305D">
        <w:rPr>
          <w:rFonts w:ascii="Calibri" w:hAnsi="Calibri" w:cs="Calibri"/>
        </w:rPr>
        <w:t xml:space="preserve"> Local</w:t>
      </w:r>
      <w:r w:rsidR="00946C1B">
        <w:rPr>
          <w:rFonts w:ascii="Calibri" w:hAnsi="Calibri" w:cs="Calibri"/>
        </w:rPr>
        <w:t>ised</w:t>
      </w:r>
      <w:r w:rsidR="00D6305D">
        <w:rPr>
          <w:rFonts w:ascii="Calibri" w:hAnsi="Calibri" w:cs="Calibri"/>
        </w:rPr>
        <w:t xml:space="preserve"> Information Pack</w:t>
      </w:r>
    </w:p>
    <w:p w14:paraId="732A5F99" w14:textId="66307C4E" w:rsidR="00D410C6" w:rsidRDefault="00D410C6" w:rsidP="00E17EB2">
      <w:pPr>
        <w:tabs>
          <w:tab w:val="left" w:pos="4545"/>
        </w:tabs>
        <w:jc w:val="both"/>
        <w:rPr>
          <w:rFonts w:ascii="Calibri" w:hAnsi="Calibri" w:cs="Calibri"/>
        </w:rPr>
      </w:pPr>
      <w:r>
        <w:rPr>
          <w:rFonts w:ascii="Calibri" w:hAnsi="Calibri" w:cs="Calibri"/>
        </w:rPr>
        <w:t xml:space="preserve">MHRA </w:t>
      </w:r>
      <w:r w:rsidRPr="00D410C6">
        <w:rPr>
          <w:rFonts w:ascii="Calibri" w:hAnsi="Calibri" w:cs="Calibri"/>
        </w:rPr>
        <w:t>Medicines and Healthcare products Regulatory Agency</w:t>
      </w:r>
    </w:p>
    <w:p w14:paraId="657A2241" w14:textId="01AF38DC" w:rsidR="00DE6001" w:rsidRDefault="00DE6001" w:rsidP="00E17EB2">
      <w:pPr>
        <w:jc w:val="both"/>
        <w:rPr>
          <w:rFonts w:ascii="Calibri" w:hAnsi="Calibri" w:cs="Calibri"/>
        </w:rPr>
      </w:pPr>
      <w:r>
        <w:rPr>
          <w:rFonts w:ascii="Calibri" w:hAnsi="Calibri" w:cs="Calibri"/>
        </w:rPr>
        <w:t>MRN Medical Record Number</w:t>
      </w:r>
    </w:p>
    <w:p w14:paraId="1FA1A859" w14:textId="0613E8BE" w:rsidR="00A05AD9" w:rsidRDefault="00A06730" w:rsidP="00E17EB2">
      <w:pPr>
        <w:jc w:val="both"/>
        <w:rPr>
          <w:rFonts w:ascii="Calibri" w:hAnsi="Calibri" w:cs="Calibri"/>
        </w:rPr>
      </w:pPr>
      <w:r>
        <w:rPr>
          <w:rFonts w:ascii="Calibri" w:hAnsi="Calibri" w:cs="Calibri"/>
        </w:rPr>
        <w:t xml:space="preserve">NHS National Health </w:t>
      </w:r>
      <w:r w:rsidR="00853A73">
        <w:rPr>
          <w:rFonts w:ascii="Calibri" w:hAnsi="Calibri" w:cs="Calibri"/>
        </w:rPr>
        <w:t>S</w:t>
      </w:r>
      <w:r>
        <w:rPr>
          <w:rFonts w:ascii="Calibri" w:hAnsi="Calibri" w:cs="Calibri"/>
        </w:rPr>
        <w:t>ervice</w:t>
      </w:r>
    </w:p>
    <w:p w14:paraId="22971AFF" w14:textId="3E44DD8B" w:rsidR="00B57B3C" w:rsidRDefault="00B57B3C" w:rsidP="00E17EB2">
      <w:pPr>
        <w:jc w:val="both"/>
        <w:rPr>
          <w:rFonts w:ascii="Calibri" w:hAnsi="Calibri" w:cs="Calibri"/>
        </w:rPr>
      </w:pPr>
      <w:r>
        <w:rPr>
          <w:rFonts w:ascii="Calibri" w:hAnsi="Calibri" w:cs="Calibri"/>
        </w:rPr>
        <w:t xml:space="preserve">NIHR National Institute for Health </w:t>
      </w:r>
      <w:r w:rsidR="00F67829">
        <w:rPr>
          <w:rFonts w:ascii="Calibri" w:hAnsi="Calibri" w:cs="Calibri"/>
        </w:rPr>
        <w:t xml:space="preserve">and Care </w:t>
      </w:r>
      <w:r>
        <w:rPr>
          <w:rFonts w:ascii="Calibri" w:hAnsi="Calibri" w:cs="Calibri"/>
        </w:rPr>
        <w:t>Research</w:t>
      </w:r>
    </w:p>
    <w:p w14:paraId="644B7A58" w14:textId="3DBD25A1" w:rsidR="00F6386B" w:rsidRDefault="00F6386B" w:rsidP="00E17EB2">
      <w:pPr>
        <w:jc w:val="both"/>
        <w:rPr>
          <w:rFonts w:ascii="Calibri" w:hAnsi="Calibri" w:cs="Calibri"/>
        </w:rPr>
      </w:pPr>
      <w:r>
        <w:rPr>
          <w:rFonts w:ascii="Calibri" w:hAnsi="Calibri" w:cs="Calibri"/>
        </w:rPr>
        <w:t>PACS</w:t>
      </w:r>
      <w:r w:rsidR="009F2007">
        <w:rPr>
          <w:rFonts w:ascii="Calibri" w:hAnsi="Calibri" w:cs="Calibri"/>
        </w:rPr>
        <w:t xml:space="preserve"> </w:t>
      </w:r>
      <w:r w:rsidR="009F2007" w:rsidRPr="009F2007">
        <w:rPr>
          <w:rFonts w:ascii="Calibri" w:hAnsi="Calibri" w:cs="Calibri"/>
        </w:rPr>
        <w:t>Picture Archiving and Communication System</w:t>
      </w:r>
    </w:p>
    <w:p w14:paraId="7C538D72" w14:textId="7CDB5B74" w:rsidR="00A05AD9" w:rsidRDefault="00A05AD9" w:rsidP="00E17EB2">
      <w:pPr>
        <w:jc w:val="both"/>
        <w:rPr>
          <w:rFonts w:ascii="Calibri" w:hAnsi="Calibri" w:cs="Calibri"/>
        </w:rPr>
      </w:pPr>
      <w:r>
        <w:rPr>
          <w:rFonts w:ascii="Calibri" w:hAnsi="Calibri" w:cs="Calibri"/>
        </w:rPr>
        <w:t>PI Princip</w:t>
      </w:r>
      <w:r w:rsidR="00F67829">
        <w:rPr>
          <w:rFonts w:ascii="Calibri" w:hAnsi="Calibri" w:cs="Calibri"/>
        </w:rPr>
        <w:t>al</w:t>
      </w:r>
      <w:r>
        <w:rPr>
          <w:rFonts w:ascii="Calibri" w:hAnsi="Calibri" w:cs="Calibri"/>
        </w:rPr>
        <w:t xml:space="preserve"> Investigator</w:t>
      </w:r>
    </w:p>
    <w:p w14:paraId="06506D4D" w14:textId="0291A41A" w:rsidR="0061036C" w:rsidRDefault="0061036C" w:rsidP="00E17EB2">
      <w:pPr>
        <w:jc w:val="both"/>
        <w:rPr>
          <w:rFonts w:ascii="Calibri" w:hAnsi="Calibri" w:cs="Calibri"/>
        </w:rPr>
      </w:pPr>
      <w:r>
        <w:rPr>
          <w:rFonts w:ascii="Calibri" w:hAnsi="Calibri" w:cs="Calibri"/>
        </w:rPr>
        <w:t>PIP Patient Involvement Panel</w:t>
      </w:r>
    </w:p>
    <w:p w14:paraId="13B3DAEF" w14:textId="25E73152" w:rsidR="00A06730" w:rsidRDefault="00A06730" w:rsidP="00E17EB2">
      <w:pPr>
        <w:jc w:val="both"/>
        <w:rPr>
          <w:rFonts w:ascii="Calibri" w:hAnsi="Calibri" w:cs="Calibri"/>
        </w:rPr>
      </w:pPr>
      <w:r>
        <w:rPr>
          <w:rFonts w:ascii="Calibri" w:hAnsi="Calibri" w:cs="Calibri"/>
        </w:rPr>
        <w:t>PO Patient Outcomes</w:t>
      </w:r>
    </w:p>
    <w:p w14:paraId="0FFE73A9" w14:textId="00FCA677" w:rsidR="00A05AD9" w:rsidRDefault="00A05AD9" w:rsidP="00E17EB2">
      <w:pPr>
        <w:jc w:val="both"/>
        <w:rPr>
          <w:rFonts w:ascii="Calibri" w:hAnsi="Calibri" w:cs="Calibri"/>
        </w:rPr>
      </w:pPr>
      <w:r>
        <w:rPr>
          <w:rFonts w:ascii="Calibri" w:hAnsi="Calibri" w:cs="Calibri"/>
        </w:rPr>
        <w:lastRenderedPageBreak/>
        <w:t xml:space="preserve">PPI Patient and Public Involvement </w:t>
      </w:r>
    </w:p>
    <w:p w14:paraId="39F26C74" w14:textId="405333AB" w:rsidR="00853A73" w:rsidRDefault="00853A73" w:rsidP="00E17EB2">
      <w:pPr>
        <w:jc w:val="both"/>
        <w:rPr>
          <w:rFonts w:ascii="Calibri" w:hAnsi="Calibri" w:cs="Calibri"/>
        </w:rPr>
      </w:pPr>
      <w:r>
        <w:rPr>
          <w:rFonts w:ascii="Calibri" w:hAnsi="Calibri" w:cs="Calibri"/>
        </w:rPr>
        <w:t>RDS Research Data Store</w:t>
      </w:r>
    </w:p>
    <w:p w14:paraId="1565D9BE" w14:textId="28392447" w:rsidR="00FE3AD9" w:rsidRDefault="007B5B8B" w:rsidP="00E17EB2">
      <w:pPr>
        <w:jc w:val="both"/>
        <w:rPr>
          <w:rFonts w:ascii="Calibri" w:hAnsi="Calibri" w:cs="Calibri"/>
        </w:rPr>
      </w:pPr>
      <w:r>
        <w:rPr>
          <w:rFonts w:ascii="Calibri" w:hAnsi="Calibri" w:cs="Calibri"/>
        </w:rPr>
        <w:t>REC Research Ethics Committee</w:t>
      </w:r>
    </w:p>
    <w:p w14:paraId="1C7EFEBE" w14:textId="3B357FEF" w:rsidR="00A06730" w:rsidRDefault="00A06730" w:rsidP="00E17EB2">
      <w:pPr>
        <w:jc w:val="both"/>
        <w:rPr>
          <w:rFonts w:ascii="Calibri" w:hAnsi="Calibri" w:cs="Calibri"/>
        </w:rPr>
      </w:pPr>
      <w:r>
        <w:rPr>
          <w:rFonts w:ascii="Calibri" w:hAnsi="Calibri" w:cs="Calibri"/>
        </w:rPr>
        <w:t>R&amp;D Research and Development</w:t>
      </w:r>
    </w:p>
    <w:p w14:paraId="73AFEDE8" w14:textId="48B86851" w:rsidR="00FC25D3" w:rsidRDefault="00853A73" w:rsidP="00E17EB2">
      <w:pPr>
        <w:jc w:val="both"/>
        <w:rPr>
          <w:rFonts w:ascii="Calibri" w:hAnsi="Calibri" w:cs="Calibri"/>
        </w:rPr>
      </w:pPr>
      <w:r>
        <w:rPr>
          <w:rFonts w:ascii="Calibri" w:hAnsi="Calibri" w:cs="Calibri"/>
        </w:rPr>
        <w:t xml:space="preserve">SRCP </w:t>
      </w:r>
      <w:r>
        <w:t>Secure Research Computer Platform</w:t>
      </w:r>
    </w:p>
    <w:p w14:paraId="54A8E1AD" w14:textId="21FBBCB8" w:rsidR="00046885" w:rsidRDefault="00FC25D3" w:rsidP="00E17EB2">
      <w:pPr>
        <w:jc w:val="both"/>
        <w:rPr>
          <w:rFonts w:ascii="Calibri" w:hAnsi="Calibri" w:cs="Calibri"/>
        </w:rPr>
      </w:pPr>
      <w:r>
        <w:rPr>
          <w:rFonts w:ascii="Calibri" w:hAnsi="Calibri" w:cs="Calibri"/>
        </w:rPr>
        <w:t>UoC University of Cambridge</w:t>
      </w:r>
    </w:p>
    <w:p w14:paraId="1D3A3EBB" w14:textId="482B64B2" w:rsidR="002C5146" w:rsidRPr="002C5146" w:rsidRDefault="002C5146" w:rsidP="00E17EB2">
      <w:pPr>
        <w:jc w:val="both"/>
      </w:pPr>
    </w:p>
    <w:p w14:paraId="3ECCC885" w14:textId="70CB9229" w:rsidR="00E22457" w:rsidRPr="00455374" w:rsidRDefault="00E22457" w:rsidP="00E17EB2">
      <w:pPr>
        <w:pStyle w:val="Heading1"/>
        <w:jc w:val="both"/>
        <w:rPr>
          <w:rFonts w:ascii="Calibri" w:hAnsi="Calibri" w:cs="Calibri"/>
          <w:b/>
          <w:color w:val="000000" w:themeColor="text1"/>
          <w:sz w:val="28"/>
          <w:szCs w:val="28"/>
        </w:rPr>
      </w:pPr>
      <w:bookmarkStart w:id="1" w:name="_Toc204260163"/>
      <w:r w:rsidRPr="00455374">
        <w:rPr>
          <w:rFonts w:ascii="Calibri" w:hAnsi="Calibri" w:cs="Calibri"/>
          <w:b/>
          <w:color w:val="000000" w:themeColor="text1"/>
          <w:sz w:val="28"/>
          <w:szCs w:val="28"/>
        </w:rPr>
        <w:t>List of contacts</w:t>
      </w:r>
      <w:bookmarkEnd w:id="1"/>
    </w:p>
    <w:p w14:paraId="225671BF" w14:textId="77777777" w:rsidR="00E22457" w:rsidRDefault="00E22457" w:rsidP="00E17EB2">
      <w:pPr>
        <w:jc w:val="both"/>
        <w:rPr>
          <w:rFonts w:ascii="Calibri" w:hAnsi="Calibri" w:cs="Calibri"/>
          <w:b/>
          <w:color w:val="000000" w:themeColor="text1"/>
          <w:u w:val="single"/>
        </w:rPr>
      </w:pPr>
    </w:p>
    <w:p w14:paraId="77A14E02" w14:textId="10645A8B" w:rsidR="00E22457" w:rsidRDefault="00445A2F" w:rsidP="00E17EB2">
      <w:pPr>
        <w:jc w:val="both"/>
        <w:rPr>
          <w:rFonts w:ascii="Calibri" w:hAnsi="Calibri" w:cs="Calibri"/>
          <w:color w:val="000000" w:themeColor="text1"/>
        </w:rPr>
      </w:pPr>
      <w:r>
        <w:rPr>
          <w:rFonts w:ascii="Calibri" w:hAnsi="Calibri" w:cs="Calibri"/>
          <w:color w:val="000000" w:themeColor="text1"/>
        </w:rPr>
        <w:t xml:space="preserve">CUH </w:t>
      </w:r>
      <w:r w:rsidR="0097658D">
        <w:rPr>
          <w:rFonts w:ascii="Calibri" w:hAnsi="Calibri" w:cs="Calibri"/>
          <w:color w:val="000000" w:themeColor="text1"/>
        </w:rPr>
        <w:t xml:space="preserve">R&amp;D </w:t>
      </w:r>
      <w:r w:rsidR="00E22457">
        <w:rPr>
          <w:rFonts w:ascii="Calibri" w:hAnsi="Calibri" w:cs="Calibri"/>
          <w:color w:val="000000" w:themeColor="text1"/>
        </w:rPr>
        <w:t xml:space="preserve">Data </w:t>
      </w:r>
      <w:r w:rsidR="006A1CBF">
        <w:rPr>
          <w:rFonts w:ascii="Calibri" w:hAnsi="Calibri" w:cs="Calibri"/>
          <w:color w:val="000000" w:themeColor="text1"/>
        </w:rPr>
        <w:t xml:space="preserve">and AI </w:t>
      </w:r>
      <w:r w:rsidR="00E22457">
        <w:rPr>
          <w:rFonts w:ascii="Calibri" w:hAnsi="Calibri" w:cs="Calibri"/>
          <w:color w:val="000000" w:themeColor="text1"/>
        </w:rPr>
        <w:t xml:space="preserve">Research Governance </w:t>
      </w:r>
      <w:hyperlink r:id="rId13" w:history="1">
        <w:r w:rsidR="0097658D" w:rsidRPr="002306B3">
          <w:rPr>
            <w:rStyle w:val="Hyperlink"/>
            <w:rFonts w:ascii="Calibri" w:hAnsi="Calibri" w:cs="Calibri"/>
          </w:rPr>
          <w:t>CUH.Dataresearch@nhs.net</w:t>
        </w:r>
      </w:hyperlink>
      <w:r w:rsidR="0097658D">
        <w:rPr>
          <w:rFonts w:ascii="Calibri" w:hAnsi="Calibri" w:cs="Calibri"/>
        </w:rPr>
        <w:t xml:space="preserve"> </w:t>
      </w:r>
    </w:p>
    <w:p w14:paraId="458FDDDB" w14:textId="52F99259" w:rsidR="00072D4C" w:rsidRDefault="00072D4C" w:rsidP="00E17EB2">
      <w:pPr>
        <w:jc w:val="both"/>
        <w:rPr>
          <w:rFonts w:ascii="Calibri" w:hAnsi="Calibri" w:cs="Calibri"/>
          <w:color w:val="000000" w:themeColor="text1"/>
        </w:rPr>
      </w:pPr>
      <w:r>
        <w:rPr>
          <w:rFonts w:ascii="Calibri" w:hAnsi="Calibri" w:cs="Calibri"/>
          <w:color w:val="000000" w:themeColor="text1"/>
        </w:rPr>
        <w:t xml:space="preserve">CUH </w:t>
      </w:r>
      <w:r w:rsidR="0097658D">
        <w:rPr>
          <w:rFonts w:ascii="Calibri" w:hAnsi="Calibri" w:cs="Calibri"/>
          <w:color w:val="000000" w:themeColor="text1"/>
        </w:rPr>
        <w:t xml:space="preserve">R&amp;D </w:t>
      </w:r>
      <w:r>
        <w:rPr>
          <w:rFonts w:ascii="Calibri" w:hAnsi="Calibri" w:cs="Calibri"/>
          <w:color w:val="000000" w:themeColor="text1"/>
        </w:rPr>
        <w:t xml:space="preserve">Research Governance </w:t>
      </w:r>
      <w:hyperlink r:id="rId14" w:history="1">
        <w:r w:rsidR="00CC3846" w:rsidRPr="00CC3846">
          <w:rPr>
            <w:rStyle w:val="Hyperlink"/>
            <w:rFonts w:ascii="Calibri" w:hAnsi="Calibri" w:cs="Calibri"/>
          </w:rPr>
          <w:t>cuh.research@nhs.net</w:t>
        </w:r>
      </w:hyperlink>
      <w:r w:rsidR="0097658D">
        <w:rPr>
          <w:rFonts w:ascii="Calibri" w:hAnsi="Calibri" w:cs="Calibri"/>
        </w:rPr>
        <w:t xml:space="preserve"> </w:t>
      </w:r>
      <w:r>
        <w:rPr>
          <w:rFonts w:ascii="Calibri" w:hAnsi="Calibri" w:cs="Calibri"/>
          <w:color w:val="000000" w:themeColor="text1"/>
        </w:rPr>
        <w:t xml:space="preserve"> </w:t>
      </w:r>
    </w:p>
    <w:p w14:paraId="3381B87E" w14:textId="30BC16E7" w:rsidR="00E22457" w:rsidRDefault="00445A2F" w:rsidP="00E17EB2">
      <w:pPr>
        <w:jc w:val="both"/>
      </w:pPr>
      <w:r>
        <w:rPr>
          <w:rFonts w:ascii="Calibri" w:hAnsi="Calibri" w:cs="Calibri"/>
          <w:color w:val="000000" w:themeColor="text1"/>
        </w:rPr>
        <w:t xml:space="preserve">CUH </w:t>
      </w:r>
      <w:r w:rsidR="00E22457">
        <w:rPr>
          <w:rFonts w:ascii="Calibri" w:hAnsi="Calibri" w:cs="Calibri"/>
          <w:color w:val="000000" w:themeColor="text1"/>
        </w:rPr>
        <w:t xml:space="preserve">Patient Outcomes </w:t>
      </w:r>
      <w:hyperlink r:id="rId15" w:history="1">
        <w:r w:rsidR="0097658D" w:rsidRPr="002306B3">
          <w:rPr>
            <w:rStyle w:val="Hyperlink"/>
          </w:rPr>
          <w:t>cuh.patientoutcomes@nhs.net</w:t>
        </w:r>
      </w:hyperlink>
      <w:r w:rsidR="0097658D">
        <w:t xml:space="preserve"> </w:t>
      </w:r>
    </w:p>
    <w:p w14:paraId="04071819" w14:textId="5273D0A4" w:rsidR="00445A2F" w:rsidRDefault="00445A2F" w:rsidP="00E17EB2">
      <w:pPr>
        <w:jc w:val="both"/>
      </w:pPr>
      <w:r>
        <w:t xml:space="preserve">CUH </w:t>
      </w:r>
      <w:r w:rsidR="00E22457">
        <w:t xml:space="preserve">R&amp;D Finance </w:t>
      </w:r>
      <w:hyperlink r:id="rId16" w:history="1">
        <w:r w:rsidR="0097658D" w:rsidRPr="002306B3">
          <w:rPr>
            <w:rStyle w:val="Hyperlink"/>
          </w:rPr>
          <w:t>cuh.rdfinance@nhs.net</w:t>
        </w:r>
      </w:hyperlink>
      <w:r w:rsidR="0097658D">
        <w:t xml:space="preserve"> </w:t>
      </w:r>
      <w:r w:rsidR="00E22457">
        <w:t xml:space="preserve"> </w:t>
      </w:r>
    </w:p>
    <w:p w14:paraId="356650B7" w14:textId="1DF5CABF" w:rsidR="00F330E1" w:rsidRDefault="00F330E1" w:rsidP="00E17EB2">
      <w:pPr>
        <w:jc w:val="both"/>
      </w:pPr>
      <w:r>
        <w:t xml:space="preserve">CUH Information Governance </w:t>
      </w:r>
      <w:hyperlink r:id="rId17" w:history="1">
        <w:r w:rsidR="003F3047" w:rsidRPr="00EC5093">
          <w:rPr>
            <w:rStyle w:val="Hyperlink"/>
          </w:rPr>
          <w:t>cuh.infogov@nhs.net</w:t>
        </w:r>
      </w:hyperlink>
      <w:r w:rsidR="003F3047">
        <w:t xml:space="preserve"> </w:t>
      </w:r>
    </w:p>
    <w:p w14:paraId="1D0A2B10" w14:textId="334392FF" w:rsidR="00445A2F" w:rsidRDefault="00445A2F">
      <w:pPr>
        <w:rPr>
          <w:rStyle w:val="Hyperlink"/>
        </w:rPr>
      </w:pPr>
      <w:r>
        <w:t xml:space="preserve">CUH R&amp;D Human Resources </w:t>
      </w:r>
      <w:hyperlink r:id="rId18" w:history="1">
        <w:r w:rsidR="0097658D" w:rsidRPr="002306B3">
          <w:rPr>
            <w:rStyle w:val="Hyperlink"/>
          </w:rPr>
          <w:t>cuh.rdhonorary@nhs.net</w:t>
        </w:r>
      </w:hyperlink>
      <w:r w:rsidR="0097658D">
        <w:t xml:space="preserve"> </w:t>
      </w:r>
    </w:p>
    <w:p w14:paraId="2C3D4D03" w14:textId="4B174108" w:rsidR="00B57B3C" w:rsidRDefault="00B57B3C">
      <w:pPr>
        <w:rPr>
          <w:rStyle w:val="Hyperlink"/>
          <w:u w:val="none"/>
        </w:rPr>
      </w:pPr>
      <w:r w:rsidRPr="00B57B3C">
        <w:rPr>
          <w:rStyle w:val="Hyperlink"/>
          <w:color w:val="auto"/>
          <w:u w:val="none"/>
        </w:rPr>
        <w:t xml:space="preserve">CUH R&amp;D PPI </w:t>
      </w:r>
      <w:hyperlink r:id="rId19" w:history="1">
        <w:r w:rsidR="009027AF" w:rsidRPr="002306B3">
          <w:rPr>
            <w:rStyle w:val="Hyperlink"/>
          </w:rPr>
          <w:t>cuh.ppi@nhs.net</w:t>
        </w:r>
      </w:hyperlink>
      <w:r w:rsidR="009027AF">
        <w:t xml:space="preserve"> </w:t>
      </w:r>
    </w:p>
    <w:p w14:paraId="4798A7D2" w14:textId="1C9FB766" w:rsidR="00072D4C" w:rsidRPr="00B57B3C" w:rsidRDefault="00072D4C">
      <w:r w:rsidRPr="00072D4C">
        <w:rPr>
          <w:rStyle w:val="Hyperlink"/>
          <w:color w:val="auto"/>
          <w:u w:val="none"/>
        </w:rPr>
        <w:t xml:space="preserve">University of Cambridge Clinical School </w:t>
      </w:r>
      <w:r w:rsidR="005A1AAF">
        <w:rPr>
          <w:rStyle w:val="Hyperlink"/>
          <w:color w:val="auto"/>
          <w:u w:val="none"/>
        </w:rPr>
        <w:t xml:space="preserve">Research </w:t>
      </w:r>
      <w:r w:rsidRPr="00072D4C">
        <w:rPr>
          <w:rStyle w:val="Hyperlink"/>
          <w:color w:val="auto"/>
          <w:u w:val="none"/>
        </w:rPr>
        <w:t>Governance team</w:t>
      </w:r>
      <w:r>
        <w:rPr>
          <w:rStyle w:val="Hyperlink"/>
          <w:color w:val="auto"/>
          <w:u w:val="none"/>
        </w:rPr>
        <w:t xml:space="preserve"> </w:t>
      </w:r>
      <w:hyperlink r:id="rId20" w:history="1">
        <w:r w:rsidRPr="003A1CF0">
          <w:rPr>
            <w:rStyle w:val="Hyperlink"/>
          </w:rPr>
          <w:t>Research_Governance@medschl.cam.ac.uk</w:t>
        </w:r>
      </w:hyperlink>
      <w:r>
        <w:rPr>
          <w:rStyle w:val="Hyperlink"/>
          <w:u w:val="none"/>
        </w:rPr>
        <w:t xml:space="preserve"> </w:t>
      </w:r>
    </w:p>
    <w:p w14:paraId="1260A985" w14:textId="77777777" w:rsidR="00445A2F" w:rsidRDefault="00445A2F">
      <w:r>
        <w:t xml:space="preserve">University of Cambridge Insurance Office </w:t>
      </w:r>
      <w:hyperlink r:id="rId21" w:history="1">
        <w:r w:rsidRPr="00375C63">
          <w:rPr>
            <w:rStyle w:val="Hyperlink"/>
          </w:rPr>
          <w:t>insurance@admin.cam.ac.uk</w:t>
        </w:r>
      </w:hyperlink>
      <w:r>
        <w:t xml:space="preserve"> </w:t>
      </w:r>
    </w:p>
    <w:p w14:paraId="65A085AC" w14:textId="77777777" w:rsidR="00DD5D8D" w:rsidRDefault="00DD5D8D" w:rsidP="00E17EB2">
      <w:pPr>
        <w:jc w:val="both"/>
        <w:rPr>
          <w:rFonts w:ascii="Calibri" w:hAnsi="Calibri" w:cs="Calibri"/>
          <w:b/>
          <w:color w:val="000000" w:themeColor="text1"/>
          <w:u w:val="single"/>
        </w:rPr>
        <w:sectPr w:rsidR="00DD5D8D" w:rsidSect="00BC2770">
          <w:pgSz w:w="11906" w:h="16838"/>
          <w:pgMar w:top="1440" w:right="1440" w:bottom="1440" w:left="1440" w:header="708" w:footer="708" w:gutter="0"/>
          <w:pgNumType w:fmt="lowerRoman" w:start="1"/>
          <w:cols w:space="708"/>
          <w:docGrid w:linePitch="360"/>
        </w:sectPr>
      </w:pPr>
    </w:p>
    <w:bookmarkStart w:id="2" w:name="_Toc204260164"/>
    <w:p w14:paraId="7A3543A7" w14:textId="237C4564" w:rsidR="000B2712" w:rsidRPr="00455374" w:rsidRDefault="000B2712" w:rsidP="00E17EB2">
      <w:pPr>
        <w:pStyle w:val="Heading1"/>
        <w:jc w:val="both"/>
        <w:rPr>
          <w:rFonts w:ascii="Calibri" w:hAnsi="Calibri" w:cs="Calibri"/>
          <w:b/>
          <w:color w:val="auto"/>
          <w:sz w:val="28"/>
          <w:szCs w:val="28"/>
        </w:rPr>
      </w:pPr>
      <w:r w:rsidRPr="00455374">
        <w:rPr>
          <w:noProof/>
          <w:sz w:val="40"/>
          <w:szCs w:val="40"/>
          <w:lang w:eastAsia="en-GB"/>
        </w:rPr>
        <w:lastRenderedPageBreak/>
        <mc:AlternateContent>
          <mc:Choice Requires="wps">
            <w:drawing>
              <wp:anchor distT="0" distB="0" distL="114300" distR="114300" simplePos="0" relativeHeight="251679744" behindDoc="0" locked="0" layoutInCell="1" allowOverlap="1" wp14:anchorId="42B9973C" wp14:editId="3971C76E">
                <wp:simplePos x="0" y="0"/>
                <wp:positionH relativeFrom="margin">
                  <wp:align>right</wp:align>
                </wp:positionH>
                <wp:positionV relativeFrom="paragraph">
                  <wp:posOffset>429260</wp:posOffset>
                </wp:positionV>
                <wp:extent cx="1828800" cy="1828800"/>
                <wp:effectExtent l="0" t="0" r="15240" b="10795"/>
                <wp:wrapSquare wrapText="bothSides"/>
                <wp:docPr id="1900500685" name="Text Box 190050068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0AB6EC"/>
                        </a:solidFill>
                        <a:ln w="6350">
                          <a:solidFill>
                            <a:srgbClr val="005E82"/>
                          </a:solidFill>
                        </a:ln>
                      </wps:spPr>
                      <wps:txbx>
                        <w:txbxContent>
                          <w:p w14:paraId="4804D3DC" w14:textId="77777777" w:rsidR="00245392" w:rsidRPr="005C7B3C" w:rsidRDefault="00245392" w:rsidP="000B2712">
                            <w:pPr>
                              <w:rPr>
                                <w:color w:val="FFFFFF" w:themeColor="background1"/>
                              </w:rPr>
                            </w:pPr>
                            <w:r w:rsidRPr="005C7B3C">
                              <w:rPr>
                                <w:color w:val="FFFFFF" w:themeColor="background1"/>
                              </w:rPr>
                              <w:t xml:space="preserve">Research is: </w:t>
                            </w:r>
                          </w:p>
                          <w:p w14:paraId="7C4067E6" w14:textId="77777777" w:rsidR="00245392" w:rsidRPr="005C7B3C" w:rsidRDefault="00245392" w:rsidP="000B2712">
                            <w:pPr>
                              <w:rPr>
                                <w:i/>
                                <w:color w:val="FFFFFF" w:themeColor="background1"/>
                              </w:rPr>
                            </w:pPr>
                            <w:r w:rsidRPr="005C7B3C">
                              <w:rPr>
                                <w:i/>
                                <w:color w:val="FFFFFF" w:themeColor="background1"/>
                              </w:rPr>
                              <w:t>“The attempt to derive</w:t>
                            </w:r>
                            <w:r w:rsidRPr="0090495A">
                              <w:rPr>
                                <w:i/>
                                <w:color w:val="FFFFFF" w:themeColor="background1"/>
                              </w:rPr>
                              <w:t xml:space="preserve"> generalisable</w:t>
                            </w:r>
                            <w:r w:rsidRPr="005C7B3C">
                              <w:rPr>
                                <w:i/>
                                <w:color w:val="FFFFFF" w:themeColor="background1"/>
                              </w:rPr>
                              <w:t xml:space="preserve"> or transferable new knowledge to answer questions with scientifically sound methods including studies that aim to generate hypotheses as well as studies that aim to test them, in addition to simply descriptive studies”.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B9973C" id="Text Box 1900500685" o:spid="_x0000_s1028" type="#_x0000_t202" style="position:absolute;left:0;text-align:left;margin-left:92.8pt;margin-top:33.8pt;width:2in;height:2in;z-index:2516797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" fillcolor="#0ab6ec" strokecolor="#005e82" strokeweight=".5pt">
                <v:textbox style="mso-fit-shape-to-text:t">
                  <w:txbxContent>
                    <w:p w14:paraId="4804D3DC" w14:textId="77777777" w:rsidR="00245392" w:rsidRPr="005C7B3C" w:rsidRDefault="00245392" w:rsidP="000B2712">
                      <w:pPr>
                        <w:rPr>
                          <w:color w:val="FFFFFF" w:themeColor="background1"/>
                        </w:rPr>
                      </w:pPr>
                      <w:r w:rsidRPr="005C7B3C">
                        <w:rPr>
                          <w:color w:val="FFFFFF" w:themeColor="background1"/>
                        </w:rPr>
                        <w:t xml:space="preserve">Research is: </w:t>
                      </w:r>
                    </w:p>
                    <w:p w14:paraId="7C4067E6" w14:textId="77777777" w:rsidR="00245392" w:rsidRPr="005C7B3C" w:rsidRDefault="00245392" w:rsidP="000B2712">
                      <w:pPr>
                        <w:rPr>
                          <w:i/>
                          <w:color w:val="FFFFFF" w:themeColor="background1"/>
                        </w:rPr>
                      </w:pPr>
                      <w:r w:rsidRPr="005C7B3C">
                        <w:rPr>
                          <w:i/>
                          <w:color w:val="FFFFFF" w:themeColor="background1"/>
                        </w:rPr>
                        <w:t>“The attempt to derive</w:t>
                      </w:r>
                      <w:r w:rsidRPr="0090495A">
                        <w:rPr>
                          <w:i/>
                          <w:color w:val="FFFFFF" w:themeColor="background1"/>
                        </w:rPr>
                        <w:t xml:space="preserve"> generalisable</w:t>
                      </w:r>
                      <w:r w:rsidRPr="005C7B3C">
                        <w:rPr>
                          <w:i/>
                          <w:color w:val="FFFFFF" w:themeColor="background1"/>
                        </w:rPr>
                        <w:t xml:space="preserve"> or transferable new knowledge to answer questions with scientifically sound methods including studies that aim to generate hypotheses as well as studies that aim to test them, in addition to simply descriptive studies”.</w:t>
                      </w:r>
                    </w:p>
                  </w:txbxContent>
                </v:textbox>
                <w10:wrap type="square" anchorx="margin"/>
              </v:shape>
            </w:pict>
          </mc:Fallback>
        </mc:AlternateContent>
      </w:r>
      <w:r w:rsidRPr="00455374">
        <w:rPr>
          <w:rFonts w:ascii="Calibri" w:hAnsi="Calibri" w:cs="Calibri"/>
          <w:b/>
          <w:color w:val="auto"/>
          <w:sz w:val="28"/>
          <w:szCs w:val="28"/>
        </w:rPr>
        <w:t>What is/is not research?</w:t>
      </w:r>
      <w:bookmarkEnd w:id="2"/>
    </w:p>
    <w:p w14:paraId="687151A8" w14:textId="77777777" w:rsidR="000B2712" w:rsidRPr="002A2E14" w:rsidRDefault="000B2712" w:rsidP="00E17EB2">
      <w:pPr>
        <w:jc w:val="both"/>
      </w:pPr>
    </w:p>
    <w:p w14:paraId="6FB562A0" w14:textId="271838E3" w:rsidR="00B90D25" w:rsidRDefault="000B2712">
      <w:pPr>
        <w:jc w:val="both"/>
      </w:pPr>
      <w:r>
        <w:t>Routinely collected data resides in the Trust</w:t>
      </w:r>
      <w:r w:rsidR="00245392">
        <w:t>’</w:t>
      </w:r>
      <w:r>
        <w:t xml:space="preserve">s Electronic Health Record (EHR) systems, principally Epic. These data are used </w:t>
      </w:r>
      <w:r w:rsidR="00D96CB9">
        <w:t xml:space="preserve">primarily </w:t>
      </w:r>
      <w:r>
        <w:t xml:space="preserve">for patient care but may </w:t>
      </w:r>
      <w:r w:rsidR="00245392">
        <w:t xml:space="preserve">also </w:t>
      </w:r>
      <w:r>
        <w:t xml:space="preserve">be used for a variety of secondary purposes including research, service evaluation and clinical audit. Research sits under a research governance framework while service evaluation and clinical audit sit under a clinical governance framework. Furthermore, research </w:t>
      </w:r>
      <w:r w:rsidR="00D96CB9">
        <w:t xml:space="preserve">is registered </w:t>
      </w:r>
      <w:r>
        <w:t xml:space="preserve">with the </w:t>
      </w:r>
      <w:r w:rsidR="007C1DED">
        <w:t>Research and Development (</w:t>
      </w:r>
      <w:r>
        <w:t>R&amp;D</w:t>
      </w:r>
      <w:r w:rsidR="007C1DED">
        <w:t>)</w:t>
      </w:r>
      <w:r>
        <w:t xml:space="preserve"> department </w:t>
      </w:r>
      <w:r w:rsidR="00D96CB9">
        <w:t xml:space="preserve">at the Trust </w:t>
      </w:r>
      <w:r>
        <w:t xml:space="preserve">while service evaluation and clinical audits are registered with the Patient Outcomes (PO) department. A key first step is to determine whether the proposed project is research or not. This is based on a number of factors, including whether the aims of the project are generalisable. There is national guidance on the differences between research, service evaluation and clinical </w:t>
      </w:r>
      <w:r w:rsidR="005838B0">
        <w:t>audit, which</w:t>
      </w:r>
      <w:r>
        <w:t xml:space="preserve"> is available by </w:t>
      </w:r>
      <w:hyperlink r:id="rId22" w:history="1">
        <w:r w:rsidRPr="00BE755E">
          <w:rPr>
            <w:rStyle w:val="Hyperlink"/>
          </w:rPr>
          <w:t>clicking here.</w:t>
        </w:r>
      </w:hyperlink>
      <w:r w:rsidR="00B90D25">
        <w:t xml:space="preserve"> Additionally, you can find a </w:t>
      </w:r>
      <w:r w:rsidR="007C1DED">
        <w:t>Health Research Authority (</w:t>
      </w:r>
      <w:r w:rsidR="00B90D25">
        <w:t>HRA</w:t>
      </w:r>
      <w:r w:rsidR="007C1DED">
        <w:t>)</w:t>
      </w:r>
      <w:r w:rsidR="00B90D25">
        <w:t xml:space="preserve"> decision tool to determine if study is research </w:t>
      </w:r>
      <w:hyperlink r:id="rId23" w:history="1">
        <w:r w:rsidR="00B90D25" w:rsidRPr="000C244B">
          <w:rPr>
            <w:rStyle w:val="Hyperlink"/>
          </w:rPr>
          <w:t>here</w:t>
        </w:r>
      </w:hyperlink>
      <w:r w:rsidR="00B90D25">
        <w:t>.</w:t>
      </w:r>
    </w:p>
    <w:p w14:paraId="36B077C9" w14:textId="77777777" w:rsidR="000B2712" w:rsidRDefault="000B2712" w:rsidP="00E17EB2">
      <w:pPr>
        <w:jc w:val="both"/>
      </w:pPr>
    </w:p>
    <w:p w14:paraId="2AF037E8" w14:textId="4E4CE2A1" w:rsidR="000B2712" w:rsidRDefault="00EC5551" w:rsidP="00E17EB2">
      <w:pPr>
        <w:jc w:val="both"/>
      </w:pPr>
      <w:r>
        <w:rPr>
          <w:noProof/>
          <w:lang w:eastAsia="en-GB"/>
        </w:rPr>
        <mc:AlternateContent>
          <mc:Choice Requires="wps">
            <w:drawing>
              <wp:anchor distT="0" distB="0" distL="114300" distR="114300" simplePos="0" relativeHeight="251680768" behindDoc="0" locked="0" layoutInCell="1" allowOverlap="1" wp14:anchorId="3F176112" wp14:editId="769F10BA">
                <wp:simplePos x="0" y="0"/>
                <wp:positionH relativeFrom="margin">
                  <wp:align>left</wp:align>
                </wp:positionH>
                <wp:positionV relativeFrom="paragraph">
                  <wp:posOffset>431800</wp:posOffset>
                </wp:positionV>
                <wp:extent cx="1828800" cy="1828800"/>
                <wp:effectExtent l="0" t="0" r="15240" b="10795"/>
                <wp:wrapSquare wrapText="bothSides"/>
                <wp:docPr id="998658792" name="Text Box 99865879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0AB6EC"/>
                        </a:solidFill>
                        <a:ln w="6350">
                          <a:solidFill>
                            <a:srgbClr val="005E82"/>
                          </a:solidFill>
                        </a:ln>
                      </wps:spPr>
                      <wps:txbx>
                        <w:txbxContent>
                          <w:p w14:paraId="4DDEDF9C" w14:textId="77777777" w:rsidR="00245392" w:rsidRPr="00FF776E" w:rsidRDefault="00245392" w:rsidP="000B2712">
                            <w:pPr>
                              <w:rPr>
                                <w:i/>
                                <w:color w:val="FFFFFF" w:themeColor="background1"/>
                              </w:rPr>
                            </w:pPr>
                            <w:r w:rsidRPr="00FF776E">
                              <w:rPr>
                                <w:i/>
                                <w:color w:val="FFFFFF" w:themeColor="background1"/>
                              </w:rPr>
                              <w:t xml:space="preserve">“Generalisable in this context means the findings can be reliably extrapolated from the study to a broader population of patients/service users and/or applied to settings or contexts other than those in which they were tested”.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176112" id="Text Box 998658792" o:spid="_x0000_s1029" type="#_x0000_t202" style="position:absolute;left:0;text-align:left;margin-left:0;margin-top:34pt;width:2in;height:2in;z-index:2516807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" fillcolor="#0ab6ec" strokecolor="#005e82" strokeweight=".5pt">
                <v:textbox style="mso-fit-shape-to-text:t">
                  <w:txbxContent>
                    <w:p w14:paraId="4DDEDF9C" w14:textId="77777777" w:rsidR="00245392" w:rsidRPr="00FF776E" w:rsidRDefault="00245392" w:rsidP="000B2712">
                      <w:pPr>
                        <w:rPr>
                          <w:i/>
                          <w:color w:val="FFFFFF" w:themeColor="background1"/>
                        </w:rPr>
                      </w:pPr>
                      <w:r w:rsidRPr="00FF776E">
                        <w:rPr>
                          <w:i/>
                          <w:color w:val="FFFFFF" w:themeColor="background1"/>
                        </w:rPr>
                        <w:t xml:space="preserve">“Generalisable in this context means the findings can be reliably extrapolated from the study to a broader population of patients/service users and/or applied to settings or contexts other than those in which they were tested”. </w:t>
                      </w:r>
                    </w:p>
                  </w:txbxContent>
                </v:textbox>
                <w10:wrap type="square" anchorx="margin"/>
              </v:shape>
            </w:pict>
          </mc:Fallback>
        </mc:AlternateContent>
      </w:r>
      <w:r w:rsidR="000B2712" w:rsidRPr="00BE755E">
        <w:t>Furthermore,</w:t>
      </w:r>
    </w:p>
    <w:p w14:paraId="5C9D899C" w14:textId="14D20B5C" w:rsidR="000B2712" w:rsidRDefault="000B2712" w:rsidP="00E17EB2">
      <w:pPr>
        <w:jc w:val="both"/>
      </w:pPr>
    </w:p>
    <w:p w14:paraId="22B506B5" w14:textId="0852E45D" w:rsidR="000B2712" w:rsidRDefault="000B2712">
      <w:pPr>
        <w:jc w:val="both"/>
      </w:pPr>
      <w:r>
        <w:t xml:space="preserve">Projects using routinely collected data are research where the aim of the project is generalisable, including projects where </w:t>
      </w:r>
      <w:r w:rsidR="00124E8D">
        <w:t>Cambridge University Hospitals (</w:t>
      </w:r>
      <w:r>
        <w:t>CUH</w:t>
      </w:r>
      <w:r w:rsidR="00C367EC">
        <w:t>)</w:t>
      </w:r>
      <w:r>
        <w:t xml:space="preserve"> is the only research site. </w:t>
      </w:r>
      <w:r w:rsidR="006643E6">
        <w:t>T</w:t>
      </w:r>
      <w:r>
        <w:t xml:space="preserve">he R&amp;D and PO departments </w:t>
      </w:r>
      <w:r w:rsidR="006643E6">
        <w:t xml:space="preserve">will review any borderline projects </w:t>
      </w:r>
      <w:r w:rsidR="005838B0">
        <w:t xml:space="preserve">to reach </w:t>
      </w:r>
      <w:r>
        <w:t>a final decision</w:t>
      </w:r>
      <w:r w:rsidR="005838B0">
        <w:t>.</w:t>
      </w:r>
    </w:p>
    <w:p w14:paraId="15CF09D9" w14:textId="3D794CDE" w:rsidR="000B2712" w:rsidRDefault="000B2712">
      <w:pPr>
        <w:jc w:val="both"/>
      </w:pPr>
      <w:r>
        <w:t xml:space="preserve">This remainder of this document discusses research projects. Guidance on service evaluation and clinical audit </w:t>
      </w:r>
      <w:r w:rsidR="005838B0">
        <w:t>is available</w:t>
      </w:r>
      <w:r w:rsidR="00AE472C">
        <w:t xml:space="preserve"> on </w:t>
      </w:r>
      <w:r w:rsidR="005838B0">
        <w:t xml:space="preserve">the </w:t>
      </w:r>
      <w:r w:rsidR="00AE472C">
        <w:t xml:space="preserve">Connect </w:t>
      </w:r>
      <w:hyperlink r:id="rId24" w:history="1">
        <w:r w:rsidR="00AE472C" w:rsidRPr="00AE472C">
          <w:rPr>
            <w:rStyle w:val="Hyperlink"/>
          </w:rPr>
          <w:t>link here</w:t>
        </w:r>
      </w:hyperlink>
      <w:r w:rsidR="00AE472C">
        <w:t xml:space="preserve">) or </w:t>
      </w:r>
      <w:r>
        <w:t xml:space="preserve">obtained from the </w:t>
      </w:r>
      <w:r w:rsidR="00C367EC">
        <w:t>PO</w:t>
      </w:r>
      <w:r>
        <w:t xml:space="preserve"> department: </w:t>
      </w:r>
      <w:hyperlink r:id="rId25" w:history="1">
        <w:r w:rsidR="00FA4358" w:rsidRPr="00C06B18">
          <w:rPr>
            <w:rStyle w:val="Hyperlink"/>
          </w:rPr>
          <w:t>cuh.patientoutcomes@nhs.net</w:t>
        </w:r>
      </w:hyperlink>
      <w:r w:rsidR="00FA4358">
        <w:t xml:space="preserve"> </w:t>
      </w:r>
    </w:p>
    <w:p w14:paraId="4DE71C56" w14:textId="77777777" w:rsidR="00EC5551" w:rsidRPr="001563C2" w:rsidRDefault="00EC5551">
      <w:pPr>
        <w:jc w:val="both"/>
      </w:pPr>
    </w:p>
    <w:p w14:paraId="6BC789D0" w14:textId="3909A976" w:rsidR="00752E7C" w:rsidRPr="00455374" w:rsidRDefault="008C2A9F" w:rsidP="00E17EB2">
      <w:pPr>
        <w:pStyle w:val="Heading1"/>
        <w:jc w:val="both"/>
        <w:rPr>
          <w:rFonts w:ascii="Calibri" w:hAnsi="Calibri" w:cs="Calibri"/>
          <w:b/>
          <w:color w:val="000000" w:themeColor="text1"/>
          <w:sz w:val="40"/>
          <w:szCs w:val="40"/>
        </w:rPr>
      </w:pPr>
      <w:bookmarkStart w:id="3" w:name="_Toc204260165"/>
      <w:r w:rsidRPr="00455374">
        <w:rPr>
          <w:rFonts w:ascii="Calibri" w:hAnsi="Calibri" w:cs="Calibri"/>
          <w:b/>
          <w:color w:val="000000" w:themeColor="text1"/>
          <w:sz w:val="28"/>
          <w:szCs w:val="28"/>
        </w:rPr>
        <w:t xml:space="preserve">1. </w:t>
      </w:r>
      <w:r w:rsidR="007B4598" w:rsidRPr="00455374">
        <w:rPr>
          <w:rFonts w:ascii="Calibri" w:hAnsi="Calibri" w:cs="Calibri"/>
          <w:b/>
          <w:color w:val="000000" w:themeColor="text1"/>
          <w:sz w:val="28"/>
          <w:szCs w:val="28"/>
        </w:rPr>
        <w:t>Background</w:t>
      </w:r>
      <w:bookmarkEnd w:id="3"/>
    </w:p>
    <w:p w14:paraId="440740E4" w14:textId="7B0EB6EB" w:rsidR="0070367B" w:rsidRDefault="0070367B" w:rsidP="00E17EB2">
      <w:pPr>
        <w:jc w:val="both"/>
      </w:pPr>
    </w:p>
    <w:p w14:paraId="4883C4FE" w14:textId="339208F8" w:rsidR="00DF42CA" w:rsidRDefault="0070367B">
      <w:pPr>
        <w:jc w:val="both"/>
      </w:pPr>
      <w:r>
        <w:t xml:space="preserve">The purpose of this document is to provide researchers with guidance on the </w:t>
      </w:r>
      <w:r w:rsidR="00E87BF6">
        <w:t>National Health Service (</w:t>
      </w:r>
      <w:r w:rsidR="00DF42CA" w:rsidRPr="00DF42CA">
        <w:t>NHS</w:t>
      </w:r>
      <w:r w:rsidR="00E87BF6">
        <w:t>)</w:t>
      </w:r>
      <w:r w:rsidR="00DF42CA" w:rsidRPr="00DF42CA">
        <w:t xml:space="preserve"> Research Ethics Committee</w:t>
      </w:r>
      <w:r w:rsidR="00750365">
        <w:t xml:space="preserve"> (REC)</w:t>
      </w:r>
      <w:r w:rsidR="00DF42CA" w:rsidRPr="00DF42CA">
        <w:t xml:space="preserve"> </w:t>
      </w:r>
      <w:r w:rsidR="00DF42CA">
        <w:t xml:space="preserve">approved EHR Research and Innovation (ERIN) research database. </w:t>
      </w:r>
      <w:r w:rsidR="00DF42CA" w:rsidRPr="00DF42CA">
        <w:t xml:space="preserve">The </w:t>
      </w:r>
      <w:r w:rsidR="007B4598">
        <w:t>ERIN</w:t>
      </w:r>
      <w:r w:rsidR="00047530">
        <w:t xml:space="preserve"> </w:t>
      </w:r>
      <w:r w:rsidR="007B4598">
        <w:t xml:space="preserve">database </w:t>
      </w:r>
      <w:r w:rsidR="000C1994">
        <w:t xml:space="preserve">is not a physical database, but </w:t>
      </w:r>
      <w:r w:rsidR="00356D37">
        <w:t>rather a governance framework developed to</w:t>
      </w:r>
      <w:r w:rsidR="00C3119C">
        <w:t xml:space="preserve"> </w:t>
      </w:r>
      <w:r w:rsidR="00C3119C" w:rsidRPr="00D960C7">
        <w:t xml:space="preserve">review and approve data access requests for research projects wishing to use </w:t>
      </w:r>
      <w:r w:rsidR="00750365" w:rsidRPr="00D960C7">
        <w:t>EHR</w:t>
      </w:r>
      <w:r w:rsidR="00DD49D7" w:rsidRPr="00D960C7">
        <w:t xml:space="preserve"> data stored at CUH.</w:t>
      </w:r>
      <w:r w:rsidR="001F210E">
        <w:t xml:space="preserve"> This </w:t>
      </w:r>
      <w:r w:rsidR="005838B0">
        <w:t>facilitates</w:t>
      </w:r>
      <w:r w:rsidR="007B4598">
        <w:t xml:space="preserve"> the safe use of</w:t>
      </w:r>
      <w:r w:rsidR="00DF42CA" w:rsidRPr="00DF42CA">
        <w:t xml:space="preserve"> de-identified patient level </w:t>
      </w:r>
      <w:r w:rsidR="001F210E">
        <w:t>EHR</w:t>
      </w:r>
      <w:r w:rsidR="00DF42CA" w:rsidRPr="00DF42CA">
        <w:t xml:space="preserve"> data and systems for </w:t>
      </w:r>
      <w:r w:rsidR="00DF42CA" w:rsidRPr="00DF42CA">
        <w:lastRenderedPageBreak/>
        <w:t xml:space="preserve">research, innovation and other projects aimed at improving health, treatment or services. </w:t>
      </w:r>
      <w:r w:rsidR="00DF42CA">
        <w:t xml:space="preserve">The ERIN database </w:t>
      </w:r>
      <w:r w:rsidR="004F3388" w:rsidRPr="00D960C7">
        <w:t xml:space="preserve">covers </w:t>
      </w:r>
      <w:r w:rsidR="00DF42CA" w:rsidRPr="00D960C7">
        <w:t xml:space="preserve">patient-level data from the EHR, including, but not limited to, data from the electronic hospital notes system (Epic), the </w:t>
      </w:r>
      <w:r w:rsidR="00E56CEC" w:rsidRPr="00D960C7">
        <w:rPr>
          <w:rFonts w:ascii="Calibri" w:hAnsi="Calibri" w:cs="Calibri"/>
        </w:rPr>
        <w:t>Picture Archiving and Communication System</w:t>
      </w:r>
      <w:r w:rsidR="00E56CEC" w:rsidRPr="00D960C7" w:rsidDel="00E56CEC">
        <w:t xml:space="preserve"> </w:t>
      </w:r>
      <w:r w:rsidR="00DF42CA" w:rsidRPr="00D960C7">
        <w:t>(PACS),</w:t>
      </w:r>
      <w:r w:rsidR="00DF42CA" w:rsidRPr="00DF42CA">
        <w:t xml:space="preserve"> and other relevant hospital information systems</w:t>
      </w:r>
      <w:r w:rsidR="00DF42CA">
        <w:t xml:space="preserve">. </w:t>
      </w:r>
      <w:r w:rsidR="00E07F60">
        <w:t xml:space="preserve">A summary of the ERIN database </w:t>
      </w:r>
      <w:r w:rsidR="005838B0">
        <w:t>is available</w:t>
      </w:r>
      <w:r w:rsidR="00E07F60">
        <w:t xml:space="preserve"> on the HRA website </w:t>
      </w:r>
      <w:hyperlink r:id="rId26" w:history="1">
        <w:r w:rsidR="00E07F60" w:rsidRPr="00E07F60">
          <w:rPr>
            <w:rStyle w:val="Hyperlink"/>
          </w:rPr>
          <w:t>here</w:t>
        </w:r>
      </w:hyperlink>
      <w:r w:rsidR="00E07F60">
        <w:t>.</w:t>
      </w:r>
    </w:p>
    <w:p w14:paraId="4E7E0E31" w14:textId="3212599F" w:rsidR="00DF42CA" w:rsidRDefault="00D96CB9">
      <w:pPr>
        <w:jc w:val="both"/>
      </w:pPr>
      <w:r>
        <w:t xml:space="preserve">The ERIN database </w:t>
      </w:r>
      <w:r w:rsidRPr="00C91721">
        <w:t>reviews all</w:t>
      </w:r>
      <w:r w:rsidR="008F6D63" w:rsidRPr="00C91721">
        <w:t xml:space="preserve"> research at CUH using de-identified, routinely collected data </w:t>
      </w:r>
      <w:r w:rsidR="00DC7B10" w:rsidRPr="00C91721">
        <w:t xml:space="preserve">or images </w:t>
      </w:r>
      <w:r w:rsidR="008F6D63" w:rsidRPr="00C91721">
        <w:t>without specific patient consent</w:t>
      </w:r>
      <w:r w:rsidR="005838B0" w:rsidRPr="00C91721">
        <w:t>.</w:t>
      </w:r>
    </w:p>
    <w:p w14:paraId="7E8C478F" w14:textId="16D73249" w:rsidR="0070367B" w:rsidRDefault="00953206">
      <w:pPr>
        <w:jc w:val="both"/>
      </w:pPr>
      <w:r>
        <w:t xml:space="preserve">Whilst there may be some overlap, </w:t>
      </w:r>
      <w:r w:rsidRPr="001F2B9E">
        <w:t xml:space="preserve">this </w:t>
      </w:r>
      <w:r w:rsidR="007B4598" w:rsidRPr="001F2B9E">
        <w:t xml:space="preserve">researcher guidance </w:t>
      </w:r>
      <w:r w:rsidRPr="001F2B9E">
        <w:t>is not intended to cover other types of research</w:t>
      </w:r>
      <w:r w:rsidR="00A23F8A" w:rsidRPr="001F2B9E">
        <w:t>, research databases</w:t>
      </w:r>
      <w:r w:rsidRPr="001F2B9E">
        <w:t xml:space="preserve"> or requests for routinely collected data from consented studies. Please</w:t>
      </w:r>
      <w:r>
        <w:t xml:space="preserve"> contact R&amp;D for advice on other types of research</w:t>
      </w:r>
      <w:r w:rsidR="00072D4C">
        <w:t xml:space="preserve"> by emailing </w:t>
      </w:r>
      <w:hyperlink r:id="rId27" w:history="1">
        <w:r w:rsidR="007B4598" w:rsidRPr="002306B3">
          <w:rPr>
            <w:rStyle w:val="Hyperlink"/>
          </w:rPr>
          <w:t>cuh.</w:t>
        </w:r>
        <w:r w:rsidR="007B4598" w:rsidRPr="007B4598">
          <w:rPr>
            <w:rStyle w:val="Hyperlink"/>
          </w:rPr>
          <w:t>research@</w:t>
        </w:r>
        <w:r w:rsidR="007B4598" w:rsidRPr="002306B3">
          <w:rPr>
            <w:rStyle w:val="Hyperlink"/>
          </w:rPr>
          <w:t>nhs.net</w:t>
        </w:r>
      </w:hyperlink>
      <w:r w:rsidR="007B4598">
        <w:t xml:space="preserve"> </w:t>
      </w:r>
    </w:p>
    <w:p w14:paraId="3142F604" w14:textId="3B5DACB5" w:rsidR="0085600B" w:rsidRDefault="0085600B">
      <w:pPr>
        <w:jc w:val="both"/>
      </w:pPr>
      <w:r>
        <w:t xml:space="preserve">Under the ERIN database, the </w:t>
      </w:r>
      <w:r w:rsidR="005838B0">
        <w:t xml:space="preserve">analysed </w:t>
      </w:r>
      <w:r>
        <w:t xml:space="preserve">dataset </w:t>
      </w:r>
      <w:r w:rsidR="005838B0">
        <w:t>must be</w:t>
      </w:r>
      <w:r>
        <w:t xml:space="preserve"> effectively anonymised. </w:t>
      </w:r>
      <w:r w:rsidR="004606A8">
        <w:t xml:space="preserve">Please see section </w:t>
      </w:r>
      <w:r w:rsidR="00D935C0">
        <w:t>3</w:t>
      </w:r>
      <w:r w:rsidR="004606A8">
        <w:t>.</w:t>
      </w:r>
      <w:r w:rsidR="00D935C0">
        <w:t>3</w:t>
      </w:r>
      <w:r w:rsidR="004606A8">
        <w:t xml:space="preserve"> for further information on anonymisation. </w:t>
      </w:r>
    </w:p>
    <w:p w14:paraId="4A25B8DD" w14:textId="2AFE8A23" w:rsidR="00EC5551" w:rsidRDefault="000014CE">
      <w:pPr>
        <w:jc w:val="both"/>
      </w:pPr>
      <w:r>
        <w:t>Throughout this document, the Data and AI Research Governance team will be referred to as the data team for short.</w:t>
      </w:r>
    </w:p>
    <w:p w14:paraId="3561E116" w14:textId="77777777" w:rsidR="0085600B" w:rsidRDefault="0085600B">
      <w:pPr>
        <w:jc w:val="both"/>
      </w:pPr>
    </w:p>
    <w:p w14:paraId="60AC2770" w14:textId="4091D14B" w:rsidR="000C7C8C" w:rsidRPr="00455374" w:rsidRDefault="001310C8" w:rsidP="00E17EB2">
      <w:pPr>
        <w:pStyle w:val="Heading1"/>
        <w:jc w:val="both"/>
        <w:rPr>
          <w:rFonts w:ascii="Calibri" w:hAnsi="Calibri" w:cs="Calibri"/>
          <w:b/>
          <w:color w:val="000000" w:themeColor="text1"/>
          <w:sz w:val="28"/>
          <w:szCs w:val="28"/>
        </w:rPr>
      </w:pPr>
      <w:bookmarkStart w:id="4" w:name="_Toc204260166"/>
      <w:r w:rsidRPr="00455374">
        <w:rPr>
          <w:rFonts w:ascii="Calibri" w:hAnsi="Calibri" w:cs="Calibri"/>
          <w:b/>
          <w:color w:val="000000" w:themeColor="text1"/>
          <w:sz w:val="28"/>
          <w:szCs w:val="28"/>
        </w:rPr>
        <w:t>2</w:t>
      </w:r>
      <w:r w:rsidR="008C2A9F" w:rsidRPr="00455374">
        <w:rPr>
          <w:rFonts w:ascii="Calibri" w:hAnsi="Calibri" w:cs="Calibri"/>
          <w:b/>
          <w:color w:val="000000" w:themeColor="text1"/>
          <w:sz w:val="28"/>
          <w:szCs w:val="28"/>
        </w:rPr>
        <w:t xml:space="preserve">. </w:t>
      </w:r>
      <w:r w:rsidR="00325D3A" w:rsidRPr="00455374">
        <w:rPr>
          <w:rFonts w:ascii="Calibri" w:hAnsi="Calibri" w:cs="Calibri"/>
          <w:b/>
          <w:color w:val="000000" w:themeColor="text1"/>
          <w:sz w:val="28"/>
          <w:szCs w:val="28"/>
        </w:rPr>
        <w:t>Application process for the</w:t>
      </w:r>
      <w:r w:rsidR="0046391A" w:rsidRPr="00455374">
        <w:rPr>
          <w:rFonts w:ascii="Calibri" w:hAnsi="Calibri" w:cs="Calibri"/>
          <w:b/>
          <w:color w:val="000000" w:themeColor="text1"/>
          <w:sz w:val="28"/>
          <w:szCs w:val="28"/>
        </w:rPr>
        <w:t xml:space="preserve"> ERIN database</w:t>
      </w:r>
      <w:bookmarkEnd w:id="4"/>
      <w:r w:rsidR="000C7C8C" w:rsidRPr="00455374">
        <w:rPr>
          <w:rFonts w:ascii="Calibri" w:hAnsi="Calibri" w:cs="Calibri"/>
          <w:b/>
          <w:color w:val="000000" w:themeColor="text1"/>
          <w:sz w:val="28"/>
          <w:szCs w:val="28"/>
        </w:rPr>
        <w:t xml:space="preserve"> </w:t>
      </w:r>
    </w:p>
    <w:p w14:paraId="76C3572E" w14:textId="77777777" w:rsidR="00AC09A1" w:rsidRPr="00AC09A1" w:rsidRDefault="00AC09A1" w:rsidP="00E17EB2">
      <w:pPr>
        <w:jc w:val="both"/>
      </w:pPr>
    </w:p>
    <w:p w14:paraId="55B295EF" w14:textId="35171000" w:rsidR="00E358F7" w:rsidRPr="00455374" w:rsidRDefault="001310C8" w:rsidP="00E17EB2">
      <w:pPr>
        <w:pStyle w:val="Heading2"/>
        <w:jc w:val="both"/>
        <w:rPr>
          <w:rFonts w:ascii="Calibri" w:hAnsi="Calibri" w:cs="Calibri"/>
          <w:b/>
          <w:color w:val="auto"/>
          <w:sz w:val="24"/>
          <w:szCs w:val="28"/>
          <w:u w:val="single"/>
        </w:rPr>
      </w:pPr>
      <w:bookmarkStart w:id="5" w:name="_Toc204260167"/>
      <w:r w:rsidRPr="00455374">
        <w:rPr>
          <w:rFonts w:ascii="Calibri" w:hAnsi="Calibri" w:cs="Calibri"/>
          <w:b/>
          <w:color w:val="auto"/>
          <w:sz w:val="24"/>
          <w:szCs w:val="28"/>
          <w:u w:val="single"/>
        </w:rPr>
        <w:t>2</w:t>
      </w:r>
      <w:r w:rsidR="008C2A9F" w:rsidRPr="00455374">
        <w:rPr>
          <w:rFonts w:ascii="Calibri" w:hAnsi="Calibri" w:cs="Calibri"/>
          <w:b/>
          <w:color w:val="auto"/>
          <w:sz w:val="24"/>
          <w:szCs w:val="28"/>
          <w:u w:val="single"/>
        </w:rPr>
        <w:t xml:space="preserve">.1 </w:t>
      </w:r>
      <w:r w:rsidR="000C7C8C" w:rsidRPr="00455374">
        <w:rPr>
          <w:rFonts w:ascii="Calibri" w:hAnsi="Calibri" w:cs="Calibri"/>
          <w:b/>
          <w:color w:val="auto"/>
          <w:sz w:val="24"/>
          <w:szCs w:val="28"/>
          <w:u w:val="single"/>
        </w:rPr>
        <w:t>Principles and initial points to consider</w:t>
      </w:r>
      <w:bookmarkEnd w:id="5"/>
    </w:p>
    <w:p w14:paraId="7836DA77" w14:textId="77777777" w:rsidR="000C7C8C" w:rsidRDefault="000C7C8C" w:rsidP="00E17EB2">
      <w:pPr>
        <w:jc w:val="both"/>
      </w:pPr>
    </w:p>
    <w:p w14:paraId="636A56A6" w14:textId="50CD9D1A" w:rsidR="00AC09A1" w:rsidRDefault="00AC09A1">
      <w:pPr>
        <w:jc w:val="both"/>
      </w:pPr>
      <w:r>
        <w:t>The following high</w:t>
      </w:r>
      <w:r w:rsidR="007E3619">
        <w:t>-</w:t>
      </w:r>
      <w:r>
        <w:t>level prin</w:t>
      </w:r>
      <w:r w:rsidR="00CA70E7">
        <w:t xml:space="preserve">ciples apply to all </w:t>
      </w:r>
      <w:r w:rsidR="0046391A">
        <w:t>applications to the ERIN database</w:t>
      </w:r>
      <w:r>
        <w:t>:</w:t>
      </w:r>
    </w:p>
    <w:p w14:paraId="7522E7FB" w14:textId="0262047E" w:rsidR="000C7C8C" w:rsidRDefault="000C7C8C">
      <w:pPr>
        <w:pStyle w:val="ListParagraph"/>
        <w:numPr>
          <w:ilvl w:val="0"/>
          <w:numId w:val="21"/>
        </w:numPr>
        <w:jc w:val="both"/>
      </w:pPr>
      <w:r>
        <w:t xml:space="preserve">The dataset that is analysed </w:t>
      </w:r>
      <w:r w:rsidR="00AF6661">
        <w:t>should</w:t>
      </w:r>
      <w:r>
        <w:t xml:space="preserve"> be de-identified</w:t>
      </w:r>
      <w:r w:rsidR="00AF6661">
        <w:t xml:space="preserve"> in accordance with section </w:t>
      </w:r>
      <w:r w:rsidR="00D935C0">
        <w:t>3</w:t>
      </w:r>
      <w:r w:rsidR="00782B32">
        <w:t>.</w:t>
      </w:r>
      <w:r w:rsidR="00AF6661">
        <w:t>3.1</w:t>
      </w:r>
    </w:p>
    <w:p w14:paraId="5D9C735D" w14:textId="319400BA" w:rsidR="000C7C8C" w:rsidRDefault="000C7C8C">
      <w:pPr>
        <w:pStyle w:val="ListParagraph"/>
        <w:numPr>
          <w:ilvl w:val="0"/>
          <w:numId w:val="21"/>
        </w:numPr>
        <w:jc w:val="both"/>
      </w:pPr>
      <w:r>
        <w:t xml:space="preserve">Data must be de-identified by the clinical care team, </w:t>
      </w:r>
      <w:r w:rsidR="00A85303">
        <w:t xml:space="preserve">which includes </w:t>
      </w:r>
      <w:r w:rsidR="00710499">
        <w:t xml:space="preserve">the </w:t>
      </w:r>
      <w:r w:rsidR="006643E6">
        <w:t xml:space="preserve">eHospital </w:t>
      </w:r>
      <w:r w:rsidR="00710499">
        <w:t>C</w:t>
      </w:r>
      <w:r>
        <w:t xml:space="preserve">linical </w:t>
      </w:r>
      <w:r w:rsidR="00710499">
        <w:t>I</w:t>
      </w:r>
      <w:r>
        <w:t>nformatics</w:t>
      </w:r>
      <w:r w:rsidR="00710499">
        <w:t xml:space="preserve"> team</w:t>
      </w:r>
      <w:r>
        <w:t xml:space="preserve">. </w:t>
      </w:r>
      <w:r w:rsidRPr="00C91721">
        <w:t xml:space="preserve">Data may be extracted manually from </w:t>
      </w:r>
      <w:r w:rsidR="00E56CEC" w:rsidRPr="00C91721">
        <w:t>EHRs</w:t>
      </w:r>
      <w:r w:rsidRPr="00C91721">
        <w:t xml:space="preserve"> by members of the clinical care team or extracted </w:t>
      </w:r>
      <w:r w:rsidR="0046391A" w:rsidRPr="00C91721">
        <w:t>in an automated</w:t>
      </w:r>
      <w:r w:rsidRPr="00C91721">
        <w:t xml:space="preserve"> </w:t>
      </w:r>
      <w:r w:rsidR="00710499" w:rsidRPr="00C91721">
        <w:t xml:space="preserve">way </w:t>
      </w:r>
      <w:r w:rsidRPr="00C91721">
        <w:t>by CUH Clinical Informatics</w:t>
      </w:r>
      <w:r w:rsidR="000C684F">
        <w:t xml:space="preserve"> or the PACS team</w:t>
      </w:r>
      <w:r w:rsidRPr="00C91721">
        <w:t>.</w:t>
      </w:r>
      <w:r>
        <w:t xml:space="preserve"> It is unlikely to </w:t>
      </w:r>
      <w:r w:rsidR="00E40664">
        <w:t>feasibly</w:t>
      </w:r>
      <w:r>
        <w:t xml:space="preserve"> extract large datasets</w:t>
      </w:r>
      <w:r w:rsidR="00E40664">
        <w:t xml:space="preserve"> manually</w:t>
      </w:r>
      <w:r>
        <w:t xml:space="preserve">. </w:t>
      </w:r>
      <w:r w:rsidR="00AC09A1">
        <w:t xml:space="preserve">Please see </w:t>
      </w:r>
      <w:r w:rsidR="00AC09A1" w:rsidRPr="0058659A">
        <w:t xml:space="preserve">section </w:t>
      </w:r>
      <w:r w:rsidR="00E2729C">
        <w:t>3.1</w:t>
      </w:r>
      <w:r w:rsidR="00AC09A1" w:rsidRPr="0058659A">
        <w:t xml:space="preserve"> for</w:t>
      </w:r>
      <w:r w:rsidR="00AC09A1">
        <w:t xml:space="preserve"> more information on Clinical Informatics. </w:t>
      </w:r>
    </w:p>
    <w:p w14:paraId="0CED8EB9" w14:textId="7AC79442" w:rsidR="00EC6FF9" w:rsidRPr="00F535C7" w:rsidRDefault="00EC6FF9">
      <w:pPr>
        <w:pStyle w:val="ListParagraph"/>
        <w:numPr>
          <w:ilvl w:val="0"/>
          <w:numId w:val="21"/>
        </w:numPr>
        <w:jc w:val="both"/>
      </w:pPr>
      <w:r w:rsidRPr="00F535C7">
        <w:t xml:space="preserve">A CUH contract does not necessarily make the staff member a member of the clinical care team. To be a member of the clinical care team the staff member must provide or support </w:t>
      </w:r>
      <w:r w:rsidR="00D85A3F" w:rsidRPr="00F535C7">
        <w:t xml:space="preserve">clinical </w:t>
      </w:r>
      <w:r w:rsidRPr="00F535C7">
        <w:t>care to the cohort of patients included in the study. This does not necessarily have to be on an individual patient basis</w:t>
      </w:r>
      <w:r w:rsidR="00CB4591" w:rsidRPr="00F535C7">
        <w:t>,</w:t>
      </w:r>
      <w:r w:rsidRPr="00F535C7">
        <w:t xml:space="preserve"> but it must be a cohort of patients whose records the staff member would legitimately access for clinical care purposes. </w:t>
      </w:r>
      <w:r w:rsidR="00D85A3F" w:rsidRPr="00F535C7">
        <w:t xml:space="preserve">In particular, having a research passport or letter of access would not make the individual a member of the clinical care team. </w:t>
      </w:r>
    </w:p>
    <w:p w14:paraId="217AF841" w14:textId="0E652129" w:rsidR="000C7C8C" w:rsidRDefault="00DE6001">
      <w:pPr>
        <w:pStyle w:val="ListParagraph"/>
        <w:numPr>
          <w:ilvl w:val="0"/>
          <w:numId w:val="21"/>
        </w:numPr>
        <w:jc w:val="both"/>
      </w:pPr>
      <w:r w:rsidRPr="00947D36">
        <w:t xml:space="preserve">Patients at CUH can request that their data are not used beyond their own care. An information sharing flag is then placed on the </w:t>
      </w:r>
      <w:r w:rsidR="00D96CB9" w:rsidRPr="00947D36">
        <w:t>patient’s</w:t>
      </w:r>
      <w:r w:rsidRPr="00947D36">
        <w:t xml:space="preserve"> record in Epic. F</w:t>
      </w:r>
      <w:r w:rsidR="000C7C8C" w:rsidRPr="00947D36">
        <w:t xml:space="preserve">lagged records </w:t>
      </w:r>
      <w:r w:rsidRPr="00947D36">
        <w:t>must not</w:t>
      </w:r>
      <w:r w:rsidR="000C7C8C" w:rsidRPr="00947D36">
        <w:t xml:space="preserve"> be included in </w:t>
      </w:r>
      <w:r w:rsidR="00AC09A1" w:rsidRPr="00947D36">
        <w:t xml:space="preserve">research </w:t>
      </w:r>
      <w:r w:rsidR="000C7C8C" w:rsidRPr="00947D36">
        <w:t>datasets.</w:t>
      </w:r>
      <w:r w:rsidR="000C7C8C">
        <w:t xml:space="preserve"> Where </w:t>
      </w:r>
      <w:r w:rsidR="00D96CB9">
        <w:t xml:space="preserve">the </w:t>
      </w:r>
      <w:r w:rsidR="000C7C8C">
        <w:t>Clinical Informatics</w:t>
      </w:r>
      <w:r w:rsidR="00D96CB9">
        <w:t xml:space="preserve"> team are extracting the data</w:t>
      </w:r>
      <w:r w:rsidR="000C7C8C">
        <w:t xml:space="preserve">, </w:t>
      </w:r>
      <w:r w:rsidR="00D96CB9">
        <w:t xml:space="preserve">they will automatically exclude </w:t>
      </w:r>
      <w:r w:rsidR="000C7C8C">
        <w:t xml:space="preserve">flagged records. Where data are extracted manually, the member of the </w:t>
      </w:r>
      <w:r w:rsidR="0046391A">
        <w:t xml:space="preserve">clinical </w:t>
      </w:r>
      <w:r w:rsidR="000C7C8C">
        <w:t xml:space="preserve">care team extracting data must check </w:t>
      </w:r>
      <w:r w:rsidR="005A08D6">
        <w:t xml:space="preserve">for any flags on </w:t>
      </w:r>
      <w:r w:rsidR="00E56CEC">
        <w:t>EHRs</w:t>
      </w:r>
      <w:r w:rsidR="005A08D6">
        <w:t xml:space="preserve">. </w:t>
      </w:r>
      <w:r w:rsidR="00F80207">
        <w:t xml:space="preserve">Furthermore, </w:t>
      </w:r>
      <w:r w:rsidR="00F80207" w:rsidRPr="008F0EEC">
        <w:t>the study should be compliant with the national data opt</w:t>
      </w:r>
      <w:r w:rsidR="00832276" w:rsidRPr="008F0EEC">
        <w:t>-</w:t>
      </w:r>
      <w:r w:rsidR="00F80207" w:rsidRPr="008F0EEC">
        <w:t>out.</w:t>
      </w:r>
      <w:r w:rsidR="0046391A">
        <w:t xml:space="preserve"> </w:t>
      </w:r>
    </w:p>
    <w:p w14:paraId="1EB64021" w14:textId="0F0A5322" w:rsidR="005A08D6" w:rsidRDefault="005A08D6">
      <w:pPr>
        <w:pStyle w:val="ListParagraph"/>
        <w:numPr>
          <w:ilvl w:val="0"/>
          <w:numId w:val="21"/>
        </w:numPr>
        <w:jc w:val="both"/>
      </w:pPr>
      <w:r>
        <w:t>Where data are being used to develop or train AI/algorithms</w:t>
      </w:r>
      <w:r w:rsidRPr="00D17374">
        <w:t xml:space="preserve">, there may be intellectual property implications for CUH. Please consult with </w:t>
      </w:r>
      <w:r w:rsidR="00710499" w:rsidRPr="00D17374">
        <w:t xml:space="preserve">CUH </w:t>
      </w:r>
      <w:r w:rsidRPr="00D17374">
        <w:t>R&amp;D</w:t>
      </w:r>
      <w:r w:rsidR="00AC09A1" w:rsidRPr="00D17374">
        <w:t xml:space="preserve"> as early as possible</w:t>
      </w:r>
      <w:r w:rsidRPr="00D17374">
        <w:t>.</w:t>
      </w:r>
      <w:r>
        <w:t xml:space="preserve"> </w:t>
      </w:r>
    </w:p>
    <w:p w14:paraId="787460D8" w14:textId="10926F3F" w:rsidR="00E34121" w:rsidRDefault="00E34121">
      <w:pPr>
        <w:pStyle w:val="ListParagraph"/>
        <w:numPr>
          <w:ilvl w:val="0"/>
          <w:numId w:val="21"/>
        </w:numPr>
        <w:jc w:val="both"/>
      </w:pPr>
      <w:r>
        <w:t>De-identified data should be securely stored with a</w:t>
      </w:r>
      <w:r w:rsidR="005A08D6">
        <w:t>ccess</w:t>
      </w:r>
      <w:r>
        <w:t xml:space="preserve"> to de-identified data</w:t>
      </w:r>
      <w:r w:rsidR="005A08D6">
        <w:t xml:space="preserve"> limited to the study team who require access in order to complete the research. </w:t>
      </w:r>
    </w:p>
    <w:p w14:paraId="5CC288F8" w14:textId="7633147B" w:rsidR="00E34121" w:rsidRDefault="00A52F5D">
      <w:pPr>
        <w:pStyle w:val="ListParagraph"/>
        <w:numPr>
          <w:ilvl w:val="0"/>
          <w:numId w:val="21"/>
        </w:numPr>
        <w:jc w:val="both"/>
      </w:pPr>
      <w:r>
        <w:lastRenderedPageBreak/>
        <w:t>For studies where the clinical care team are extracting data manually, i</w:t>
      </w:r>
      <w:r w:rsidR="00E34121">
        <w:t>t may be possible</w:t>
      </w:r>
      <w:r w:rsidR="00AC09A1">
        <w:t xml:space="preserve">, </w:t>
      </w:r>
      <w:r w:rsidR="00E34121">
        <w:t>to retain a pseudonymisation key</w:t>
      </w:r>
      <w:r w:rsidR="00D935C0">
        <w:t>,</w:t>
      </w:r>
      <w:r w:rsidR="00E34121">
        <w:t xml:space="preserve"> which links the de-identified data to identifiable data (e.g. NHS number or </w:t>
      </w:r>
      <w:r w:rsidR="00E87BF6">
        <w:t>Medical Record Number (</w:t>
      </w:r>
      <w:r w:rsidR="00E34121">
        <w:t>MRN</w:t>
      </w:r>
      <w:r w:rsidR="00E87BF6">
        <w:t>)</w:t>
      </w:r>
      <w:r w:rsidR="00E34121">
        <w:t xml:space="preserve">). The pseudonymisation key must be stored separately to the de-identified data, </w:t>
      </w:r>
      <w:r w:rsidR="00E34121" w:rsidRPr="0078223B">
        <w:t>in a password protected CUH folder</w:t>
      </w:r>
      <w:r w:rsidR="00E34121">
        <w:t xml:space="preserve"> accessible only to the clinical care team and must only be retained for as long as it may be necessary to refer back to identifiable data. </w:t>
      </w:r>
      <w:r w:rsidR="00DE6001">
        <w:t xml:space="preserve">Where </w:t>
      </w:r>
      <w:r w:rsidR="00D935C0">
        <w:t>CUH Clinical Informatics extracts data</w:t>
      </w:r>
      <w:r w:rsidR="00DE6001">
        <w:t>,</w:t>
      </w:r>
      <w:r w:rsidR="00DE6001" w:rsidRPr="00DE6001">
        <w:t xml:space="preserve"> they wil</w:t>
      </w:r>
      <w:r w:rsidR="00DE6001">
        <w:t>l hold the pseudonymisation key</w:t>
      </w:r>
      <w:r w:rsidR="00DE6001" w:rsidRPr="00DE6001">
        <w:t xml:space="preserve"> and details of any other pseudonymisation methods used</w:t>
      </w:r>
      <w:r w:rsidR="00DE6001">
        <w:t>.</w:t>
      </w:r>
    </w:p>
    <w:p w14:paraId="424F1184" w14:textId="577D4B44" w:rsidR="00AE4343" w:rsidRDefault="00030165">
      <w:pPr>
        <w:pStyle w:val="ListParagraph"/>
        <w:numPr>
          <w:ilvl w:val="0"/>
          <w:numId w:val="21"/>
        </w:numPr>
        <w:jc w:val="both"/>
      </w:pPr>
      <w:r>
        <w:t xml:space="preserve">University of Cambridge </w:t>
      </w:r>
      <w:r w:rsidR="00B44B2A">
        <w:t xml:space="preserve">(UoC) </w:t>
      </w:r>
      <w:r>
        <w:t>medical students wishing to undertake data research must join the study team of one of their supervisors</w:t>
      </w:r>
      <w:r w:rsidR="00494D81">
        <w:t>’</w:t>
      </w:r>
      <w:r>
        <w:t xml:space="preserve"> existing studies. </w:t>
      </w:r>
      <w:r w:rsidR="005A08D6">
        <w:t>Wherever possible</w:t>
      </w:r>
      <w:r w:rsidR="00A626DE">
        <w:t>,</w:t>
      </w:r>
      <w:r w:rsidR="005A08D6">
        <w:t xml:space="preserve"> students </w:t>
      </w:r>
      <w:r>
        <w:t xml:space="preserve">at other universities </w:t>
      </w:r>
      <w:r w:rsidR="005A08D6">
        <w:t xml:space="preserve">wishing to undertake data research should </w:t>
      </w:r>
      <w:r>
        <w:t xml:space="preserve">also </w:t>
      </w:r>
      <w:r w:rsidR="005A08D6">
        <w:t>join the study team of one of their supervisors</w:t>
      </w:r>
      <w:r w:rsidR="00C554CB">
        <w:t>’</w:t>
      </w:r>
      <w:r w:rsidR="005A08D6">
        <w:t xml:space="preserve"> existing studies. </w:t>
      </w:r>
      <w:r w:rsidR="0046391A">
        <w:t xml:space="preserve">Joining an existing study </w:t>
      </w:r>
      <w:r w:rsidR="005A08D6">
        <w:t xml:space="preserve">will ensure that students are not disadvantaged by the time required to setup a new study. Please consult R&amp;D early on if it is necessary to setup a new student project. </w:t>
      </w:r>
    </w:p>
    <w:p w14:paraId="2D626CBD" w14:textId="77777777" w:rsidR="00AE4343" w:rsidRDefault="00AE4343" w:rsidP="00E17EB2">
      <w:pPr>
        <w:pStyle w:val="ListParagraph"/>
        <w:jc w:val="both"/>
      </w:pPr>
    </w:p>
    <w:p w14:paraId="6BAC9A45" w14:textId="77777777" w:rsidR="00AE4343" w:rsidRPr="00331502" w:rsidRDefault="00AE4343" w:rsidP="00E17EB2">
      <w:pPr>
        <w:pStyle w:val="Heading2"/>
        <w:jc w:val="both"/>
        <w:rPr>
          <w:color w:val="000000" w:themeColor="text1"/>
          <w:sz w:val="24"/>
          <w:szCs w:val="24"/>
        </w:rPr>
      </w:pPr>
      <w:bookmarkStart w:id="6" w:name="_Toc204260168"/>
      <w:r w:rsidRPr="00331502">
        <w:rPr>
          <w:rFonts w:ascii="Calibri" w:hAnsi="Calibri" w:cs="Calibri"/>
          <w:b/>
          <w:color w:val="000000" w:themeColor="text1"/>
          <w:sz w:val="24"/>
          <w:szCs w:val="28"/>
          <w:u w:val="single"/>
        </w:rPr>
        <w:t>2.2 Overview of governance review process</w:t>
      </w:r>
      <w:bookmarkEnd w:id="6"/>
    </w:p>
    <w:p w14:paraId="7C61006A" w14:textId="77777777" w:rsidR="009D723E" w:rsidRPr="009D723E" w:rsidRDefault="009D723E" w:rsidP="00E17EB2">
      <w:pPr>
        <w:jc w:val="both"/>
      </w:pPr>
    </w:p>
    <w:p w14:paraId="3A085267" w14:textId="798A86C5" w:rsidR="006B7944" w:rsidRDefault="006B7944" w:rsidP="00E17EB2">
      <w:pPr>
        <w:jc w:val="both"/>
      </w:pPr>
      <w:r>
        <w:t>The following figure outlines the high</w:t>
      </w:r>
      <w:r w:rsidR="00C554CB">
        <w:t>-</w:t>
      </w:r>
      <w:r>
        <w:t xml:space="preserve">level process for data research at CUH. </w:t>
      </w:r>
    </w:p>
    <w:p w14:paraId="0A3BD9F0" w14:textId="7262C878" w:rsidR="00F872CC" w:rsidRPr="006B7944" w:rsidRDefault="005E6B63" w:rsidP="00E17EB2">
      <w:pPr>
        <w:jc w:val="both"/>
      </w:pPr>
      <w:r w:rsidRPr="005E6B63">
        <w:rPr>
          <w:noProof/>
          <w:lang w:eastAsia="en-GB"/>
        </w:rPr>
        <w:drawing>
          <wp:inline distT="0" distB="0" distL="0" distR="0" wp14:anchorId="0865D0AC" wp14:editId="5981F21F">
            <wp:extent cx="5915465" cy="3024581"/>
            <wp:effectExtent l="0" t="0" r="9525" b="0"/>
            <wp:docPr id="18844742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18378" cy="3026071"/>
                    </a:xfrm>
                    <a:prstGeom prst="rect">
                      <a:avLst/>
                    </a:prstGeom>
                    <a:noFill/>
                    <a:ln>
                      <a:noFill/>
                    </a:ln>
                  </pic:spPr>
                </pic:pic>
              </a:graphicData>
            </a:graphic>
          </wp:inline>
        </w:drawing>
      </w:r>
    </w:p>
    <w:p w14:paraId="3D5027C3" w14:textId="631DE370" w:rsidR="005073FE" w:rsidRDefault="00CA7D18" w:rsidP="00E17EB2">
      <w:pPr>
        <w:jc w:val="both"/>
      </w:pPr>
      <w:r w:rsidRPr="00CA7D18">
        <w:t>Figure 1: the high</w:t>
      </w:r>
      <w:r w:rsidR="00A21FFE">
        <w:t>-</w:t>
      </w:r>
      <w:r w:rsidRPr="00CA7D18">
        <w:t>level process for data research at CUH</w:t>
      </w:r>
    </w:p>
    <w:p w14:paraId="47124911" w14:textId="2199A428" w:rsidR="005073FE" w:rsidRDefault="005073FE" w:rsidP="00E17EB2">
      <w:pPr>
        <w:jc w:val="both"/>
      </w:pPr>
      <w:r>
        <w:t xml:space="preserve">The review process varies depending on sponsorship, and the </w:t>
      </w:r>
      <w:r w:rsidR="00D935C0">
        <w:t xml:space="preserve">next sections describe the </w:t>
      </w:r>
      <w:r>
        <w:t>documentation required for each situation. Please note, ERIN approval constitutes one part of the governance process and does not mean the study is ready to open.</w:t>
      </w:r>
    </w:p>
    <w:p w14:paraId="2389FA3A" w14:textId="77777777" w:rsidR="005073FE" w:rsidRDefault="005073FE" w:rsidP="00E17EB2">
      <w:pPr>
        <w:jc w:val="both"/>
      </w:pPr>
      <w:r>
        <w:t>Generally, the review process follows the following steps:</w:t>
      </w:r>
    </w:p>
    <w:p w14:paraId="7F514FDE" w14:textId="66C14DCA" w:rsidR="005073FE" w:rsidRDefault="00303499" w:rsidP="00E17EB2">
      <w:pPr>
        <w:pStyle w:val="ListParagraph"/>
        <w:numPr>
          <w:ilvl w:val="0"/>
          <w:numId w:val="27"/>
        </w:numPr>
        <w:jc w:val="both"/>
      </w:pPr>
      <w:r>
        <w:t>Data team receives the a</w:t>
      </w:r>
      <w:r w:rsidR="005073FE">
        <w:t>pplication/</w:t>
      </w:r>
      <w:r>
        <w:t>p</w:t>
      </w:r>
      <w:r w:rsidR="005073FE">
        <w:t xml:space="preserve">rotocol </w:t>
      </w:r>
      <w:r>
        <w:t>and assigns</w:t>
      </w:r>
      <w:r w:rsidR="006A7077">
        <w:t xml:space="preserve"> local reference number </w:t>
      </w:r>
    </w:p>
    <w:p w14:paraId="6D71FED1" w14:textId="15C91DBF" w:rsidR="005073FE" w:rsidRDefault="00303499" w:rsidP="00E17EB2">
      <w:pPr>
        <w:pStyle w:val="ListParagraph"/>
        <w:numPr>
          <w:ilvl w:val="0"/>
          <w:numId w:val="27"/>
        </w:numPr>
        <w:jc w:val="both"/>
      </w:pPr>
      <w:r>
        <w:t>Data team reviews the application/protocol against</w:t>
      </w:r>
      <w:r w:rsidR="005073FE">
        <w:t xml:space="preserve"> the 5 </w:t>
      </w:r>
      <w:r w:rsidR="006A7077">
        <w:t>S</w:t>
      </w:r>
      <w:r w:rsidR="005073FE">
        <w:t xml:space="preserve">afes, the anonymisation </w:t>
      </w:r>
      <w:r w:rsidR="006A7077">
        <w:t>criteria</w:t>
      </w:r>
      <w:r w:rsidR="005073FE">
        <w:t xml:space="preserve"> and for</w:t>
      </w:r>
      <w:r>
        <w:t xml:space="preserve"> any</w:t>
      </w:r>
      <w:r w:rsidR="005073FE">
        <w:t xml:space="preserve"> missing details. </w:t>
      </w:r>
      <w:r>
        <w:t>Data team communicates any q</w:t>
      </w:r>
      <w:r w:rsidR="005073FE">
        <w:t xml:space="preserve">ueries/changes via email until </w:t>
      </w:r>
      <w:r>
        <w:t xml:space="preserve">the application/protocol reaches a </w:t>
      </w:r>
      <w:r w:rsidR="005073FE">
        <w:t>satisfactory state for ERIN review</w:t>
      </w:r>
    </w:p>
    <w:p w14:paraId="49498BD7" w14:textId="57D22F3C" w:rsidR="005073FE" w:rsidRDefault="00303499" w:rsidP="00E17EB2">
      <w:pPr>
        <w:pStyle w:val="ListParagraph"/>
        <w:numPr>
          <w:ilvl w:val="0"/>
          <w:numId w:val="27"/>
        </w:numPr>
        <w:jc w:val="both"/>
      </w:pPr>
      <w:r>
        <w:lastRenderedPageBreak/>
        <w:t>Data team schedules s</w:t>
      </w:r>
      <w:r w:rsidR="005073FE">
        <w:t xml:space="preserve">tudy for the next available </w:t>
      </w:r>
      <w:r w:rsidR="002E63D4">
        <w:t>Patient Involvement Panel (PIP) and Data Access Committee (DAC) meetings</w:t>
      </w:r>
    </w:p>
    <w:p w14:paraId="258690F2" w14:textId="3F483D14" w:rsidR="005073FE" w:rsidRDefault="00303499" w:rsidP="00E17EB2">
      <w:pPr>
        <w:pStyle w:val="ListParagraph"/>
        <w:numPr>
          <w:ilvl w:val="0"/>
          <w:numId w:val="27"/>
        </w:numPr>
        <w:jc w:val="both"/>
      </w:pPr>
      <w:r>
        <w:t>Data team finalises m</w:t>
      </w:r>
      <w:r w:rsidR="005073FE">
        <w:t xml:space="preserve">inutes of said meetings and </w:t>
      </w:r>
      <w:r>
        <w:t xml:space="preserve">returns </w:t>
      </w:r>
      <w:r w:rsidR="005073FE">
        <w:t xml:space="preserve">feedback to the researcher. Feedback must be addressed in application, or by email where appropriate, to constitute ERIN approval. </w:t>
      </w:r>
      <w:r w:rsidR="006643E6">
        <w:t>The data team can usually accept the changes on behalf of the DAC. If the queries are more substantial, the s</w:t>
      </w:r>
      <w:r w:rsidR="005073FE">
        <w:t>tudy may return to the DAC if necessary and step 4 is repeated</w:t>
      </w:r>
    </w:p>
    <w:p w14:paraId="36736596" w14:textId="14E18AC0" w:rsidR="005073FE" w:rsidRDefault="005073FE" w:rsidP="00E17EB2">
      <w:pPr>
        <w:pStyle w:val="ListParagraph"/>
        <w:numPr>
          <w:ilvl w:val="0"/>
          <w:numId w:val="27"/>
        </w:numPr>
        <w:jc w:val="both"/>
      </w:pPr>
      <w:r>
        <w:t xml:space="preserve">Once the protocol/application is finalised, </w:t>
      </w:r>
      <w:r w:rsidR="00303499">
        <w:t>data team schedules study</w:t>
      </w:r>
      <w:r>
        <w:t xml:space="preserve"> for </w:t>
      </w:r>
      <w:r w:rsidR="00AE4343">
        <w:t>Data Protection (DP)</w:t>
      </w:r>
      <w:r>
        <w:t xml:space="preserve"> approval (</w:t>
      </w:r>
      <w:r w:rsidR="006643E6">
        <w:t xml:space="preserve">organised by R&amp;D </w:t>
      </w:r>
      <w:r>
        <w:t xml:space="preserve">weekly by email). </w:t>
      </w:r>
      <w:r w:rsidR="00303499">
        <w:t>Data team will check and request the s</w:t>
      </w:r>
      <w:r>
        <w:t xml:space="preserve">ignatures from </w:t>
      </w:r>
      <w:r w:rsidR="00E26DC3">
        <w:t>the Princip</w:t>
      </w:r>
      <w:r w:rsidR="00E56CEC">
        <w:t>al</w:t>
      </w:r>
      <w:r w:rsidR="00E26DC3">
        <w:t xml:space="preserve"> Investigator (</w:t>
      </w:r>
      <w:r>
        <w:t>PI</w:t>
      </w:r>
      <w:r w:rsidR="00E26DC3">
        <w:t>)</w:t>
      </w:r>
      <w:r>
        <w:t xml:space="preserve"> and clinical lead, if not already present on the application. CVs of all relevant members will be requested if not already received</w:t>
      </w:r>
    </w:p>
    <w:p w14:paraId="040D04E3" w14:textId="2B94A75E" w:rsidR="005073FE" w:rsidRDefault="005073FE" w:rsidP="00E17EB2">
      <w:pPr>
        <w:pStyle w:val="ListParagraph"/>
        <w:numPr>
          <w:ilvl w:val="0"/>
          <w:numId w:val="27"/>
        </w:numPr>
        <w:jc w:val="both"/>
      </w:pPr>
      <w:r>
        <w:t xml:space="preserve">If </w:t>
      </w:r>
      <w:r w:rsidR="00303499">
        <w:t xml:space="preserve">the study requires </w:t>
      </w:r>
      <w:r>
        <w:t>a</w:t>
      </w:r>
      <w:r w:rsidR="00937DA3">
        <w:t>n agr</w:t>
      </w:r>
      <w:r w:rsidR="00F35704">
        <w:t>eement</w:t>
      </w:r>
      <w:r>
        <w:t>, this will be sent for review to the relevant parties by this stage</w:t>
      </w:r>
    </w:p>
    <w:p w14:paraId="02812055" w14:textId="476CCA5A" w:rsidR="005073FE" w:rsidRDefault="005073FE" w:rsidP="00E17EB2">
      <w:pPr>
        <w:pStyle w:val="ListParagraph"/>
        <w:numPr>
          <w:ilvl w:val="0"/>
          <w:numId w:val="27"/>
        </w:numPr>
        <w:jc w:val="both"/>
      </w:pPr>
      <w:r>
        <w:t>Study is registered by this stage and once all prior items are finalised, the study is sent for quality check to the Research Governance Lead</w:t>
      </w:r>
      <w:r w:rsidR="00A45811">
        <w:t xml:space="preserve"> </w:t>
      </w:r>
    </w:p>
    <w:p w14:paraId="2EC20245" w14:textId="3884DA65" w:rsidR="005073FE" w:rsidRDefault="00937DA3" w:rsidP="00E17EB2">
      <w:pPr>
        <w:pStyle w:val="ListParagraph"/>
        <w:numPr>
          <w:ilvl w:val="0"/>
          <w:numId w:val="27"/>
        </w:numPr>
        <w:jc w:val="both"/>
      </w:pPr>
      <w:r>
        <w:t xml:space="preserve">Research Governance Lead </w:t>
      </w:r>
      <w:r w:rsidR="005073FE">
        <w:t>provides study approval, which is circulated to the study team and any other relevant teams, along with any agreements</w:t>
      </w:r>
    </w:p>
    <w:p w14:paraId="34BB2A66" w14:textId="3AA06988" w:rsidR="00EC5551" w:rsidRPr="00E53CC3" w:rsidRDefault="00EC5551" w:rsidP="00E17EB2">
      <w:pPr>
        <w:jc w:val="both"/>
      </w:pPr>
    </w:p>
    <w:p w14:paraId="2D537ED2" w14:textId="6F81C2C9" w:rsidR="00B50594" w:rsidRPr="00455374" w:rsidRDefault="005073FE" w:rsidP="00E17EB2">
      <w:pPr>
        <w:pStyle w:val="Heading2"/>
        <w:jc w:val="both"/>
        <w:rPr>
          <w:rFonts w:ascii="Calibri" w:hAnsi="Calibri" w:cs="Calibri"/>
          <w:b/>
          <w:color w:val="auto"/>
          <w:sz w:val="24"/>
          <w:szCs w:val="28"/>
          <w:u w:val="single"/>
        </w:rPr>
      </w:pPr>
      <w:bookmarkStart w:id="7" w:name="_Toc204260169"/>
      <w:r w:rsidRPr="00455374">
        <w:rPr>
          <w:rFonts w:ascii="Calibri" w:hAnsi="Calibri" w:cs="Calibri"/>
          <w:b/>
          <w:color w:val="auto"/>
          <w:sz w:val="24"/>
          <w:szCs w:val="28"/>
          <w:u w:val="single"/>
        </w:rPr>
        <w:t>2</w:t>
      </w:r>
      <w:r w:rsidR="008C2A9F" w:rsidRPr="00455374">
        <w:rPr>
          <w:rFonts w:ascii="Calibri" w:hAnsi="Calibri" w:cs="Calibri"/>
          <w:b/>
          <w:color w:val="auto"/>
          <w:sz w:val="24"/>
          <w:szCs w:val="28"/>
          <w:u w:val="single"/>
        </w:rPr>
        <w:t>.</w:t>
      </w:r>
      <w:r w:rsidRPr="00455374">
        <w:rPr>
          <w:rFonts w:ascii="Calibri" w:hAnsi="Calibri" w:cs="Calibri"/>
          <w:b/>
          <w:color w:val="auto"/>
          <w:sz w:val="24"/>
          <w:szCs w:val="28"/>
          <w:u w:val="single"/>
        </w:rPr>
        <w:t>3</w:t>
      </w:r>
      <w:r w:rsidR="00A05AD9" w:rsidRPr="00455374">
        <w:rPr>
          <w:rFonts w:ascii="Calibri" w:hAnsi="Calibri" w:cs="Calibri"/>
          <w:b/>
          <w:color w:val="auto"/>
          <w:sz w:val="24"/>
          <w:szCs w:val="28"/>
          <w:u w:val="single"/>
        </w:rPr>
        <w:t xml:space="preserve"> </w:t>
      </w:r>
      <w:r w:rsidR="0061036C" w:rsidRPr="00455374">
        <w:rPr>
          <w:rFonts w:ascii="Calibri" w:hAnsi="Calibri" w:cs="Calibri"/>
          <w:b/>
          <w:color w:val="auto"/>
          <w:sz w:val="24"/>
          <w:szCs w:val="28"/>
          <w:u w:val="single"/>
        </w:rPr>
        <w:t>ERIN Patient Involvement Panel and ERIN Data Access Committee</w:t>
      </w:r>
      <w:bookmarkEnd w:id="7"/>
    </w:p>
    <w:p w14:paraId="4746E274" w14:textId="056A522A" w:rsidR="004E201E" w:rsidRDefault="004E201E" w:rsidP="00E17EB2">
      <w:pPr>
        <w:jc w:val="both"/>
      </w:pPr>
    </w:p>
    <w:p w14:paraId="5ADEB673" w14:textId="36BCD2C9" w:rsidR="004E201E" w:rsidRDefault="00303499">
      <w:pPr>
        <w:jc w:val="both"/>
      </w:pPr>
      <w:r>
        <w:t>The ERIN PIP and DAC will review all applications for access to de-identified routinely collected CUH data</w:t>
      </w:r>
      <w:r w:rsidR="0061036C">
        <w:t xml:space="preserve">. </w:t>
      </w:r>
      <w:r w:rsidR="004E201E">
        <w:t xml:space="preserve"> The </w:t>
      </w:r>
      <w:r w:rsidR="0061036C">
        <w:t>DAC</w:t>
      </w:r>
      <w:r w:rsidR="00C15647">
        <w:t xml:space="preserve"> and P</w:t>
      </w:r>
      <w:r w:rsidR="00410830">
        <w:t>I</w:t>
      </w:r>
      <w:r w:rsidR="00A85AE2">
        <w:t>P</w:t>
      </w:r>
      <w:r w:rsidR="00C15647">
        <w:t xml:space="preserve"> </w:t>
      </w:r>
      <w:r w:rsidR="00A85AE2">
        <w:t xml:space="preserve">meet </w:t>
      </w:r>
      <w:r w:rsidR="00410830">
        <w:t>at the beginning of each</w:t>
      </w:r>
      <w:r w:rsidR="00C45CD0">
        <w:t xml:space="preserve"> month, with papers sent out the prior week</w:t>
      </w:r>
      <w:r w:rsidR="00AD5F8C">
        <w:t xml:space="preserve"> of the meeting</w:t>
      </w:r>
      <w:r w:rsidR="00115ADC">
        <w:t>.</w:t>
      </w:r>
      <w:r w:rsidR="00C45CD0">
        <w:t xml:space="preserve"> </w:t>
      </w:r>
      <w:r w:rsidR="00115ADC">
        <w:t>The DAC</w:t>
      </w:r>
      <w:r w:rsidR="004E201E">
        <w:t xml:space="preserve"> includes </w:t>
      </w:r>
      <w:r w:rsidR="0061036C">
        <w:t xml:space="preserve">CUH information </w:t>
      </w:r>
      <w:r w:rsidR="00E56CEC">
        <w:t>G</w:t>
      </w:r>
      <w:r w:rsidR="0061036C">
        <w:t>overnance</w:t>
      </w:r>
      <w:r w:rsidR="00E56CEC">
        <w:t xml:space="preserve"> (IG)</w:t>
      </w:r>
      <w:r w:rsidR="0061036C">
        <w:t xml:space="preserve">, </w:t>
      </w:r>
      <w:r w:rsidR="004E201E">
        <w:t xml:space="preserve">the </w:t>
      </w:r>
      <w:r w:rsidR="0061036C">
        <w:t xml:space="preserve">CUH </w:t>
      </w:r>
      <w:r w:rsidR="004E201E">
        <w:t>Caldicott Guardian</w:t>
      </w:r>
      <w:r w:rsidR="0061036C">
        <w:t xml:space="preserve">, </w:t>
      </w:r>
      <w:r w:rsidR="006643E6">
        <w:t xml:space="preserve">Chief Research Information </w:t>
      </w:r>
      <w:r>
        <w:t>officer, Chief</w:t>
      </w:r>
      <w:r w:rsidR="0061036C">
        <w:t xml:space="preserve"> Clinical Information Officer and R&amp;D representatives</w:t>
      </w:r>
      <w:r w:rsidR="004E201E">
        <w:t xml:space="preserve">. </w:t>
      </w:r>
      <w:r w:rsidR="00905879" w:rsidRPr="00E17EB2">
        <w:t xml:space="preserve">DAC and PIP review also </w:t>
      </w:r>
      <w:r w:rsidR="00F61218" w:rsidRPr="00E17EB2">
        <w:t xml:space="preserve">constitutes peer review and </w:t>
      </w:r>
      <w:r w:rsidR="0023151A" w:rsidRPr="00E17EB2">
        <w:t>Patient and Public Involvement (</w:t>
      </w:r>
      <w:r w:rsidR="00F61218" w:rsidRPr="00E17EB2">
        <w:t>PPI</w:t>
      </w:r>
      <w:r w:rsidR="0023151A" w:rsidRPr="00E17EB2">
        <w:t>)</w:t>
      </w:r>
      <w:r w:rsidR="00F61218" w:rsidRPr="00E17EB2">
        <w:t xml:space="preserve">, however further review from other groups </w:t>
      </w:r>
      <w:r w:rsidR="00022B08" w:rsidRPr="00E17EB2">
        <w:t>is</w:t>
      </w:r>
      <w:r w:rsidR="00F61218" w:rsidRPr="00E17EB2">
        <w:t xml:space="preserve"> encouraged</w:t>
      </w:r>
      <w:r w:rsidR="00F61218" w:rsidRPr="00303499">
        <w:t xml:space="preserve">. </w:t>
      </w:r>
      <w:r w:rsidR="001645AD" w:rsidRPr="00303499">
        <w:t>All applications must complete the ERIN Data Access</w:t>
      </w:r>
      <w:r w:rsidR="001645AD">
        <w:t xml:space="preserve"> Application Form</w:t>
      </w:r>
      <w:r w:rsidR="00115ADC">
        <w:t xml:space="preserve"> or </w:t>
      </w:r>
      <w:r w:rsidR="005150B5">
        <w:t xml:space="preserve">a </w:t>
      </w:r>
      <w:r w:rsidR="00553698">
        <w:t>study</w:t>
      </w:r>
      <w:r w:rsidR="005150B5">
        <w:t xml:space="preserve"> protocol</w:t>
      </w:r>
      <w:r w:rsidR="009C11B6">
        <w:t>.</w:t>
      </w:r>
      <w:r w:rsidR="001645AD">
        <w:t xml:space="preserve"> </w:t>
      </w:r>
      <w:r w:rsidR="004E201E">
        <w:t xml:space="preserve">The </w:t>
      </w:r>
      <w:r w:rsidR="0061036C">
        <w:t>DAC</w:t>
      </w:r>
      <w:r w:rsidR="004E201E">
        <w:t xml:space="preserve"> will review </w:t>
      </w:r>
      <w:r w:rsidR="0061036C">
        <w:t xml:space="preserve">applications </w:t>
      </w:r>
      <w:r w:rsidR="004E201E">
        <w:t>using the widely used 5 S</w:t>
      </w:r>
      <w:r w:rsidR="00192C3A">
        <w:t>afes</w:t>
      </w:r>
      <w:r w:rsidR="00022B08">
        <w:t xml:space="preserve"> </w:t>
      </w:r>
      <w:r w:rsidR="004E201E">
        <w:t xml:space="preserve">framework. </w:t>
      </w:r>
    </w:p>
    <w:p w14:paraId="75ED54A0" w14:textId="463F8E14" w:rsidR="004E201E" w:rsidRPr="004E201E" w:rsidRDefault="004E201E">
      <w:pPr>
        <w:jc w:val="both"/>
      </w:pPr>
      <w:r>
        <w:t>The</w:t>
      </w:r>
      <w:r w:rsidR="000014CE">
        <w:t xml:space="preserve"> data team</w:t>
      </w:r>
      <w:r>
        <w:t xml:space="preserve"> will undertake an initial review of all </w:t>
      </w:r>
      <w:r w:rsidR="0061036C">
        <w:t>application</w:t>
      </w:r>
      <w:r>
        <w:t xml:space="preserve"> to ensure </w:t>
      </w:r>
      <w:r w:rsidR="000014CE">
        <w:t>it is</w:t>
      </w:r>
      <w:r>
        <w:t xml:space="preserve"> suitable for review and</w:t>
      </w:r>
      <w:r w:rsidR="0061036C">
        <w:t>, if possible,</w:t>
      </w:r>
      <w:r>
        <w:t xml:space="preserve"> </w:t>
      </w:r>
      <w:r w:rsidR="002D61B6">
        <w:t xml:space="preserve">address </w:t>
      </w:r>
      <w:r>
        <w:t xml:space="preserve">any issues </w:t>
      </w:r>
      <w:r w:rsidR="000014CE">
        <w:t>the committee is likely to raise</w:t>
      </w:r>
      <w:r w:rsidR="0061036C">
        <w:t xml:space="preserve"> </w:t>
      </w:r>
      <w:r w:rsidR="00026E5E">
        <w:t xml:space="preserve">before the </w:t>
      </w:r>
      <w:r w:rsidR="0061036C">
        <w:t xml:space="preserve">DAC </w:t>
      </w:r>
      <w:r w:rsidR="00026E5E">
        <w:t>meeting</w:t>
      </w:r>
      <w:r>
        <w:t xml:space="preserve">. </w:t>
      </w:r>
      <w:r w:rsidR="00600A51">
        <w:t>Common issues include:</w:t>
      </w:r>
    </w:p>
    <w:p w14:paraId="24B8EC79" w14:textId="0F3A7CD2" w:rsidR="00600A51" w:rsidRDefault="00AF6661">
      <w:pPr>
        <w:pStyle w:val="ListParagraph"/>
        <w:numPr>
          <w:ilvl w:val="1"/>
          <w:numId w:val="16"/>
        </w:numPr>
        <w:jc w:val="both"/>
        <w:rPr>
          <w:rFonts w:ascii="Calibri" w:hAnsi="Calibri" w:cs="Calibri"/>
        </w:rPr>
      </w:pPr>
      <w:r>
        <w:rPr>
          <w:rFonts w:ascii="Calibri" w:hAnsi="Calibri" w:cs="Calibri"/>
        </w:rPr>
        <w:t xml:space="preserve">Please ensure data are de-identified in accordance with section </w:t>
      </w:r>
      <w:r w:rsidR="00D935C0">
        <w:rPr>
          <w:rFonts w:ascii="Calibri" w:hAnsi="Calibri" w:cs="Calibri"/>
        </w:rPr>
        <w:t>3</w:t>
      </w:r>
      <w:r>
        <w:rPr>
          <w:rFonts w:ascii="Calibri" w:hAnsi="Calibri" w:cs="Calibri"/>
        </w:rPr>
        <w:t xml:space="preserve">.3.1 or, where this is not possible, please provide justification for deviating from these principles. </w:t>
      </w:r>
    </w:p>
    <w:p w14:paraId="0B5AF49E" w14:textId="7BECD43B" w:rsidR="00035B6A" w:rsidRDefault="00600A51">
      <w:pPr>
        <w:pStyle w:val="ListParagraph"/>
        <w:numPr>
          <w:ilvl w:val="1"/>
          <w:numId w:val="16"/>
        </w:numPr>
        <w:jc w:val="both"/>
        <w:rPr>
          <w:rFonts w:ascii="Calibri" w:hAnsi="Calibri" w:cs="Calibri"/>
        </w:rPr>
      </w:pPr>
      <w:r>
        <w:rPr>
          <w:rFonts w:ascii="Calibri" w:hAnsi="Calibri" w:cs="Calibri"/>
        </w:rPr>
        <w:t xml:space="preserve">Please outline </w:t>
      </w:r>
      <w:r w:rsidR="002D61B6">
        <w:rPr>
          <w:rFonts w:ascii="Calibri" w:hAnsi="Calibri" w:cs="Calibri"/>
        </w:rPr>
        <w:t>the data storage location</w:t>
      </w:r>
      <w:r>
        <w:rPr>
          <w:rFonts w:ascii="Calibri" w:hAnsi="Calibri" w:cs="Calibri"/>
        </w:rPr>
        <w:t xml:space="preserve"> and the security in place. If data will be </w:t>
      </w:r>
      <w:r w:rsidR="00072D4C">
        <w:rPr>
          <w:rFonts w:ascii="Calibri" w:hAnsi="Calibri" w:cs="Calibri"/>
        </w:rPr>
        <w:t>transferred</w:t>
      </w:r>
      <w:r w:rsidR="00063B95">
        <w:rPr>
          <w:rFonts w:ascii="Calibri" w:hAnsi="Calibri" w:cs="Calibri"/>
        </w:rPr>
        <w:t xml:space="preserve"> using an e</w:t>
      </w:r>
      <w:r w:rsidR="00202FAC">
        <w:rPr>
          <w:rFonts w:ascii="Calibri" w:hAnsi="Calibri" w:cs="Calibri"/>
        </w:rPr>
        <w:t xml:space="preserve">lectronic </w:t>
      </w:r>
      <w:r w:rsidR="00E26DC3">
        <w:rPr>
          <w:rFonts w:ascii="Calibri" w:hAnsi="Calibri" w:cs="Calibri"/>
        </w:rPr>
        <w:t>c</w:t>
      </w:r>
      <w:r w:rsidR="00202FAC">
        <w:rPr>
          <w:rFonts w:ascii="Calibri" w:hAnsi="Calibri" w:cs="Calibri"/>
        </w:rPr>
        <w:t xml:space="preserve">ase </w:t>
      </w:r>
      <w:r w:rsidR="00E26DC3">
        <w:rPr>
          <w:rFonts w:ascii="Calibri" w:hAnsi="Calibri" w:cs="Calibri"/>
        </w:rPr>
        <w:t>r</w:t>
      </w:r>
      <w:r w:rsidR="00202FAC">
        <w:rPr>
          <w:rFonts w:ascii="Calibri" w:hAnsi="Calibri" w:cs="Calibri"/>
        </w:rPr>
        <w:t xml:space="preserve">eport </w:t>
      </w:r>
      <w:r w:rsidR="00E26DC3">
        <w:rPr>
          <w:rFonts w:ascii="Calibri" w:hAnsi="Calibri" w:cs="Calibri"/>
        </w:rPr>
        <w:t>f</w:t>
      </w:r>
      <w:r w:rsidR="00202FAC">
        <w:rPr>
          <w:rFonts w:ascii="Calibri" w:hAnsi="Calibri" w:cs="Calibri"/>
        </w:rPr>
        <w:t xml:space="preserve">orm </w:t>
      </w:r>
      <w:r w:rsidR="00063B95">
        <w:rPr>
          <w:rFonts w:ascii="Calibri" w:hAnsi="Calibri" w:cs="Calibri"/>
        </w:rPr>
        <w:t xml:space="preserve">or </w:t>
      </w:r>
      <w:r>
        <w:rPr>
          <w:rFonts w:ascii="Calibri" w:hAnsi="Calibri" w:cs="Calibri"/>
        </w:rPr>
        <w:t xml:space="preserve">stored </w:t>
      </w:r>
      <w:r w:rsidR="00063B95">
        <w:rPr>
          <w:rFonts w:ascii="Calibri" w:hAnsi="Calibri" w:cs="Calibri"/>
        </w:rPr>
        <w:t xml:space="preserve">using a cloud computing service, </w:t>
      </w:r>
      <w:r w:rsidR="00072D4C">
        <w:rPr>
          <w:rFonts w:ascii="Calibri" w:hAnsi="Calibri" w:cs="Calibri"/>
        </w:rPr>
        <w:t xml:space="preserve">please provide confirmation of where </w:t>
      </w:r>
      <w:r w:rsidR="00035B6A">
        <w:rPr>
          <w:rFonts w:ascii="Calibri" w:hAnsi="Calibri" w:cs="Calibri"/>
        </w:rPr>
        <w:t>the server</w:t>
      </w:r>
      <w:r w:rsidR="00072D4C">
        <w:rPr>
          <w:rFonts w:ascii="Calibri" w:hAnsi="Calibri" w:cs="Calibri"/>
        </w:rPr>
        <w:t xml:space="preserve"> is</w:t>
      </w:r>
      <w:r w:rsidR="00035B6A">
        <w:rPr>
          <w:rFonts w:ascii="Calibri" w:hAnsi="Calibri" w:cs="Calibri"/>
        </w:rPr>
        <w:t xml:space="preserve"> located</w:t>
      </w:r>
      <w:r w:rsidR="00063B95">
        <w:rPr>
          <w:rFonts w:ascii="Calibri" w:hAnsi="Calibri" w:cs="Calibri"/>
        </w:rPr>
        <w:t xml:space="preserve">. CUH has a very strong preference to use UK or EU servers. CUH and the </w:t>
      </w:r>
      <w:r w:rsidR="008F04A7">
        <w:rPr>
          <w:rFonts w:ascii="Calibri" w:hAnsi="Calibri" w:cs="Calibri"/>
        </w:rPr>
        <w:t>UoC</w:t>
      </w:r>
      <w:r w:rsidR="00063B95">
        <w:rPr>
          <w:rFonts w:ascii="Calibri" w:hAnsi="Calibri" w:cs="Calibri"/>
        </w:rPr>
        <w:t xml:space="preserve"> have several approved storage options, including cloud services</w:t>
      </w:r>
      <w:r w:rsidR="0023168F">
        <w:rPr>
          <w:rFonts w:ascii="Calibri" w:hAnsi="Calibri" w:cs="Calibri"/>
        </w:rPr>
        <w:t xml:space="preserve"> – see section 3.</w:t>
      </w:r>
      <w:r w:rsidR="00D935C0">
        <w:rPr>
          <w:rFonts w:ascii="Calibri" w:hAnsi="Calibri" w:cs="Calibri"/>
        </w:rPr>
        <w:t>5</w:t>
      </w:r>
      <w:r w:rsidR="0023168F">
        <w:rPr>
          <w:rFonts w:ascii="Calibri" w:hAnsi="Calibri" w:cs="Calibri"/>
        </w:rPr>
        <w:t>.</w:t>
      </w:r>
    </w:p>
    <w:p w14:paraId="38C54FF7" w14:textId="00807909" w:rsidR="00D64FDB" w:rsidRDefault="00001D4F">
      <w:pPr>
        <w:pStyle w:val="ListParagraph"/>
        <w:numPr>
          <w:ilvl w:val="1"/>
          <w:numId w:val="16"/>
        </w:numPr>
        <w:jc w:val="both"/>
        <w:rPr>
          <w:rFonts w:ascii="Calibri" w:hAnsi="Calibri" w:cs="Calibri"/>
        </w:rPr>
      </w:pPr>
      <w:r>
        <w:rPr>
          <w:rFonts w:ascii="Calibri" w:hAnsi="Calibri" w:cs="Calibri"/>
        </w:rPr>
        <w:t>T</w:t>
      </w:r>
      <w:r w:rsidR="001645AD">
        <w:rPr>
          <w:rFonts w:ascii="Calibri" w:hAnsi="Calibri" w:cs="Calibri"/>
        </w:rPr>
        <w:t xml:space="preserve">he data </w:t>
      </w:r>
      <w:r w:rsidR="00D64FDB">
        <w:rPr>
          <w:rFonts w:ascii="Calibri" w:hAnsi="Calibri" w:cs="Calibri"/>
        </w:rPr>
        <w:t xml:space="preserve">should be password protected and accessible only to the study </w:t>
      </w:r>
      <w:r w:rsidR="00063B95">
        <w:rPr>
          <w:rFonts w:ascii="Calibri" w:hAnsi="Calibri" w:cs="Calibri"/>
        </w:rPr>
        <w:t>team.</w:t>
      </w:r>
      <w:r w:rsidR="00072D4C">
        <w:rPr>
          <w:rFonts w:ascii="Calibri" w:hAnsi="Calibri" w:cs="Calibri"/>
        </w:rPr>
        <w:t xml:space="preserve"> </w:t>
      </w:r>
      <w:r w:rsidR="002D61B6">
        <w:rPr>
          <w:rFonts w:ascii="Calibri" w:hAnsi="Calibri" w:cs="Calibri"/>
        </w:rPr>
        <w:t>Any pseudonymisation key retained should be stored separately from the c</w:t>
      </w:r>
      <w:r w:rsidR="00072D4C">
        <w:rPr>
          <w:rFonts w:ascii="Calibri" w:hAnsi="Calibri" w:cs="Calibri"/>
        </w:rPr>
        <w:t>linical data</w:t>
      </w:r>
      <w:r w:rsidR="002D61B6">
        <w:rPr>
          <w:rFonts w:ascii="Calibri" w:hAnsi="Calibri" w:cs="Calibri"/>
        </w:rPr>
        <w:t>.</w:t>
      </w:r>
    </w:p>
    <w:p w14:paraId="1164443B" w14:textId="34E1161F" w:rsidR="00001D4F" w:rsidRDefault="00001D4F">
      <w:pPr>
        <w:pStyle w:val="ListParagraph"/>
        <w:numPr>
          <w:ilvl w:val="1"/>
          <w:numId w:val="16"/>
        </w:numPr>
        <w:jc w:val="both"/>
        <w:rPr>
          <w:rFonts w:ascii="Calibri" w:hAnsi="Calibri" w:cs="Calibri"/>
        </w:rPr>
      </w:pPr>
      <w:r>
        <w:rPr>
          <w:rFonts w:ascii="Calibri" w:hAnsi="Calibri" w:cs="Calibri"/>
        </w:rPr>
        <w:t>The dataset should be</w:t>
      </w:r>
      <w:r w:rsidR="004B6A39">
        <w:rPr>
          <w:rFonts w:ascii="Calibri" w:hAnsi="Calibri" w:cs="Calibri"/>
        </w:rPr>
        <w:t xml:space="preserve"> defined and not open-ended. Any free text fields should be manually redacted by a member of the care team.</w:t>
      </w:r>
    </w:p>
    <w:p w14:paraId="444985D5" w14:textId="25ED5D47" w:rsidR="00BD2FB9" w:rsidRDefault="002D61B6">
      <w:pPr>
        <w:jc w:val="both"/>
        <w:rPr>
          <w:rFonts w:ascii="Calibri" w:hAnsi="Calibri" w:cs="Calibri"/>
        </w:rPr>
      </w:pPr>
      <w:r>
        <w:rPr>
          <w:rFonts w:ascii="Calibri" w:hAnsi="Calibri" w:cs="Calibri"/>
        </w:rPr>
        <w:t xml:space="preserve">The data team </w:t>
      </w:r>
      <w:r w:rsidR="00BD2FB9">
        <w:rPr>
          <w:rFonts w:ascii="Calibri" w:hAnsi="Calibri" w:cs="Calibri"/>
        </w:rPr>
        <w:t xml:space="preserve">will </w:t>
      </w:r>
      <w:r>
        <w:rPr>
          <w:rFonts w:ascii="Calibri" w:hAnsi="Calibri" w:cs="Calibri"/>
        </w:rPr>
        <w:t>provide you</w:t>
      </w:r>
      <w:r w:rsidR="00BD2FB9">
        <w:rPr>
          <w:rFonts w:ascii="Calibri" w:hAnsi="Calibri" w:cs="Calibri"/>
        </w:rPr>
        <w:t xml:space="preserve"> with the DAC outcome </w:t>
      </w:r>
      <w:r>
        <w:rPr>
          <w:rFonts w:ascii="Calibri" w:hAnsi="Calibri" w:cs="Calibri"/>
        </w:rPr>
        <w:t>once it is available</w:t>
      </w:r>
      <w:r w:rsidR="00BD2FB9">
        <w:rPr>
          <w:rFonts w:ascii="Calibri" w:hAnsi="Calibri" w:cs="Calibri"/>
        </w:rPr>
        <w:t xml:space="preserve">. The DAC may approve applications, approve in principle with comments or reject with an explanation. </w:t>
      </w:r>
    </w:p>
    <w:p w14:paraId="5BD59C08" w14:textId="77777777" w:rsidR="00022B08" w:rsidRDefault="00022B08">
      <w:pPr>
        <w:jc w:val="both"/>
        <w:rPr>
          <w:rFonts w:ascii="Calibri" w:hAnsi="Calibri" w:cs="Calibri"/>
        </w:rPr>
      </w:pPr>
    </w:p>
    <w:p w14:paraId="78B7E299" w14:textId="77777777" w:rsidR="00EC5551" w:rsidRPr="00270066" w:rsidRDefault="00EC5551">
      <w:pPr>
        <w:jc w:val="both"/>
        <w:rPr>
          <w:rFonts w:ascii="Calibri" w:hAnsi="Calibri" w:cs="Calibri"/>
        </w:rPr>
      </w:pPr>
    </w:p>
    <w:p w14:paraId="6861D657" w14:textId="79999063" w:rsidR="00DF2D34" w:rsidRPr="00782B32" w:rsidRDefault="001F01CE" w:rsidP="00E17EB2">
      <w:pPr>
        <w:pStyle w:val="Heading2"/>
        <w:jc w:val="both"/>
        <w:rPr>
          <w:rFonts w:ascii="Calibri" w:hAnsi="Calibri" w:cs="Calibri"/>
          <w:b/>
          <w:i/>
          <w:u w:val="single"/>
        </w:rPr>
      </w:pPr>
      <w:bookmarkStart w:id="8" w:name="_Toc204260170"/>
      <w:r w:rsidRPr="0073481D">
        <w:rPr>
          <w:rFonts w:ascii="Calibri" w:hAnsi="Calibri" w:cs="Calibri"/>
          <w:b/>
          <w:color w:val="auto"/>
          <w:sz w:val="24"/>
          <w:szCs w:val="24"/>
          <w:u w:val="single"/>
        </w:rPr>
        <w:t>2.4</w:t>
      </w:r>
      <w:r w:rsidR="00DF2D34" w:rsidRPr="0073481D">
        <w:rPr>
          <w:rFonts w:ascii="Calibri" w:hAnsi="Calibri" w:cs="Calibri"/>
          <w:b/>
          <w:color w:val="auto"/>
          <w:sz w:val="24"/>
          <w:szCs w:val="24"/>
          <w:u w:val="single"/>
        </w:rPr>
        <w:t xml:space="preserve"> Sponsorship</w:t>
      </w:r>
      <w:r w:rsidR="009B5F29" w:rsidRPr="0073481D">
        <w:rPr>
          <w:rFonts w:ascii="Calibri" w:hAnsi="Calibri" w:cs="Calibri"/>
          <w:b/>
          <w:color w:val="auto"/>
          <w:sz w:val="24"/>
          <w:szCs w:val="24"/>
          <w:u w:val="single"/>
        </w:rPr>
        <w:t xml:space="preserve"> and required docu</w:t>
      </w:r>
      <w:r w:rsidRPr="0073481D">
        <w:rPr>
          <w:rFonts w:ascii="Calibri" w:hAnsi="Calibri" w:cs="Calibri"/>
          <w:b/>
          <w:color w:val="auto"/>
          <w:sz w:val="24"/>
          <w:szCs w:val="24"/>
          <w:u w:val="single"/>
        </w:rPr>
        <w:t>ments</w:t>
      </w:r>
      <w:bookmarkEnd w:id="8"/>
    </w:p>
    <w:p w14:paraId="0C68B408" w14:textId="77777777" w:rsidR="00DF2D34" w:rsidRPr="00BD2FB9" w:rsidRDefault="00DF2D34" w:rsidP="00E17EB2">
      <w:pPr>
        <w:jc w:val="both"/>
      </w:pPr>
    </w:p>
    <w:p w14:paraId="27CF4404" w14:textId="5169CC23" w:rsidR="00DF2D34" w:rsidRDefault="00DF2D34" w:rsidP="00E17EB2">
      <w:pPr>
        <w:jc w:val="both"/>
        <w:rPr>
          <w:rFonts w:ascii="Calibri" w:hAnsi="Calibri" w:cs="Calibri"/>
        </w:rPr>
      </w:pPr>
      <w:r w:rsidRPr="00530F6D">
        <w:rPr>
          <w:rFonts w:ascii="Calibri" w:hAnsi="Calibri" w:cs="Calibri"/>
        </w:rPr>
        <w:t>All research involving NHS patients, staff, their tissue or their data requires a sponsor.</w:t>
      </w:r>
      <w:r w:rsidRPr="00740A01">
        <w:rPr>
          <w:rFonts w:ascii="Calibri" w:hAnsi="Calibri" w:cs="Calibri"/>
        </w:rPr>
        <w:t xml:space="preserve"> </w:t>
      </w:r>
      <w:r>
        <w:rPr>
          <w:rFonts w:ascii="Calibri" w:hAnsi="Calibri" w:cs="Calibri"/>
        </w:rPr>
        <w:t xml:space="preserve"> The sponsor is responsible for providing insurance for </w:t>
      </w:r>
      <w:r w:rsidRPr="00455374">
        <w:rPr>
          <w:rFonts w:ascii="Calibri" w:hAnsi="Calibri" w:cs="Calibri"/>
        </w:rPr>
        <w:t xml:space="preserve">the study and </w:t>
      </w:r>
      <w:r w:rsidR="005B1DCF" w:rsidRPr="005B1DCF">
        <w:rPr>
          <w:rFonts w:ascii="Calibri" w:hAnsi="Calibri" w:cs="Calibri"/>
        </w:rPr>
        <w:t>the</w:t>
      </w:r>
      <w:r w:rsidR="005B1DCF">
        <w:rPr>
          <w:rFonts w:ascii="Calibri" w:hAnsi="Calibri" w:cs="Calibri"/>
        </w:rPr>
        <w:t xml:space="preserve"> management of the overall project.</w:t>
      </w:r>
    </w:p>
    <w:p w14:paraId="55710E44" w14:textId="6DC0189E" w:rsidR="00DF2D34" w:rsidRDefault="00DF2D34" w:rsidP="00E17EB2">
      <w:pPr>
        <w:jc w:val="both"/>
        <w:rPr>
          <w:rFonts w:ascii="Calibri" w:hAnsi="Calibri" w:cs="Calibri"/>
        </w:rPr>
      </w:pPr>
      <w:r w:rsidRPr="00530F6D">
        <w:rPr>
          <w:rFonts w:ascii="Calibri" w:hAnsi="Calibri" w:cs="Calibri"/>
        </w:rPr>
        <w:t xml:space="preserve"> </w:t>
      </w:r>
      <w:r w:rsidR="002D61B6" w:rsidRPr="00530F6D">
        <w:rPr>
          <w:rFonts w:ascii="Calibri" w:hAnsi="Calibri" w:cs="Calibri"/>
        </w:rPr>
        <w:t xml:space="preserve">The substantive employer of the Chief Investigator (CI) usually sponsors </w:t>
      </w:r>
      <w:r w:rsidR="002D61B6">
        <w:rPr>
          <w:rFonts w:ascii="Calibri" w:hAnsi="Calibri" w:cs="Calibri"/>
        </w:rPr>
        <w:t>the study</w:t>
      </w:r>
      <w:r w:rsidRPr="00530F6D">
        <w:rPr>
          <w:rFonts w:ascii="Calibri" w:hAnsi="Calibri" w:cs="Calibri"/>
        </w:rPr>
        <w:t>. Where</w:t>
      </w:r>
      <w:r w:rsidR="002D61B6">
        <w:rPr>
          <w:rFonts w:ascii="Calibri" w:hAnsi="Calibri" w:cs="Calibri"/>
        </w:rPr>
        <w:t xml:space="preserve"> CUH</w:t>
      </w:r>
      <w:r w:rsidRPr="00530F6D">
        <w:rPr>
          <w:rFonts w:ascii="Calibri" w:hAnsi="Calibri" w:cs="Calibri"/>
        </w:rPr>
        <w:t xml:space="preserve"> </w:t>
      </w:r>
      <w:r w:rsidR="002D61B6">
        <w:rPr>
          <w:rFonts w:ascii="Calibri" w:hAnsi="Calibri" w:cs="Calibri"/>
        </w:rPr>
        <w:t>is the substantive employer of</w:t>
      </w:r>
      <w:r w:rsidR="002D61B6" w:rsidRPr="00530F6D">
        <w:rPr>
          <w:rFonts w:ascii="Calibri" w:hAnsi="Calibri" w:cs="Calibri"/>
        </w:rPr>
        <w:t xml:space="preserve"> </w:t>
      </w:r>
      <w:r w:rsidRPr="00530F6D">
        <w:rPr>
          <w:rFonts w:ascii="Calibri" w:hAnsi="Calibri" w:cs="Calibri"/>
        </w:rPr>
        <w:t xml:space="preserve">the CI </w:t>
      </w:r>
      <w:r>
        <w:rPr>
          <w:rFonts w:ascii="Calibri" w:hAnsi="Calibri" w:cs="Calibri"/>
        </w:rPr>
        <w:t xml:space="preserve">and </w:t>
      </w:r>
      <w:r w:rsidR="008F04A7">
        <w:rPr>
          <w:rFonts w:ascii="Calibri" w:hAnsi="Calibri" w:cs="Calibri"/>
        </w:rPr>
        <w:t>UoC</w:t>
      </w:r>
      <w:r>
        <w:rPr>
          <w:rFonts w:ascii="Calibri" w:hAnsi="Calibri" w:cs="Calibri"/>
        </w:rPr>
        <w:t xml:space="preserve"> facilities are</w:t>
      </w:r>
      <w:r w:rsidR="00887811">
        <w:rPr>
          <w:rFonts w:ascii="Calibri" w:hAnsi="Calibri" w:cs="Calibri"/>
        </w:rPr>
        <w:t xml:space="preserve"> not being</w:t>
      </w:r>
      <w:r>
        <w:rPr>
          <w:rFonts w:ascii="Calibri" w:hAnsi="Calibri" w:cs="Calibri"/>
        </w:rPr>
        <w:t xml:space="preserve"> used</w:t>
      </w:r>
      <w:r w:rsidRPr="00530F6D">
        <w:rPr>
          <w:rFonts w:ascii="Calibri" w:hAnsi="Calibri" w:cs="Calibri"/>
        </w:rPr>
        <w:t>, CUH will sponsor the study. Where a member of CUH staff is undertaking a qualification from another university it may be possible for CUH to sponsor on a case</w:t>
      </w:r>
      <w:r>
        <w:rPr>
          <w:rFonts w:ascii="Calibri" w:hAnsi="Calibri" w:cs="Calibri"/>
        </w:rPr>
        <w:t>-</w:t>
      </w:r>
      <w:r w:rsidRPr="00530F6D">
        <w:rPr>
          <w:rFonts w:ascii="Calibri" w:hAnsi="Calibri" w:cs="Calibri"/>
        </w:rPr>
        <w:t>by</w:t>
      </w:r>
      <w:r>
        <w:rPr>
          <w:rFonts w:ascii="Calibri" w:hAnsi="Calibri" w:cs="Calibri"/>
        </w:rPr>
        <w:t>-</w:t>
      </w:r>
      <w:r w:rsidRPr="00530F6D">
        <w:rPr>
          <w:rFonts w:ascii="Calibri" w:hAnsi="Calibri" w:cs="Calibri"/>
        </w:rPr>
        <w:t>case basis.</w:t>
      </w:r>
    </w:p>
    <w:p w14:paraId="6D3D251C" w14:textId="49E14E0B" w:rsidR="00DF2D34" w:rsidRDefault="002D61B6" w:rsidP="00E17EB2">
      <w:pPr>
        <w:jc w:val="both"/>
        <w:rPr>
          <w:rFonts w:ascii="Calibri" w:hAnsi="Calibri" w:cs="Calibri"/>
        </w:rPr>
      </w:pPr>
      <w:r>
        <w:rPr>
          <w:rFonts w:ascii="Calibri" w:hAnsi="Calibri" w:cs="Calibri"/>
        </w:rPr>
        <w:t>T</w:t>
      </w:r>
      <w:r w:rsidR="00DF2D34">
        <w:rPr>
          <w:rFonts w:ascii="Calibri" w:hAnsi="Calibri" w:cs="Calibri"/>
        </w:rPr>
        <w:t xml:space="preserve">he </w:t>
      </w:r>
      <w:r w:rsidR="008F04A7">
        <w:rPr>
          <w:rFonts w:ascii="Calibri" w:hAnsi="Calibri" w:cs="Calibri"/>
        </w:rPr>
        <w:t>UoC</w:t>
      </w:r>
      <w:r w:rsidR="00DF2D34">
        <w:rPr>
          <w:rFonts w:ascii="Calibri" w:hAnsi="Calibri" w:cs="Calibri"/>
        </w:rPr>
        <w:t xml:space="preserve"> and CUH</w:t>
      </w:r>
      <w:r>
        <w:rPr>
          <w:rFonts w:ascii="Calibri" w:hAnsi="Calibri" w:cs="Calibri"/>
        </w:rPr>
        <w:t xml:space="preserve"> will jointly sponsor studies</w:t>
      </w:r>
      <w:r w:rsidR="00DF2D34">
        <w:rPr>
          <w:rFonts w:ascii="Calibri" w:hAnsi="Calibri" w:cs="Calibri"/>
        </w:rPr>
        <w:t xml:space="preserve"> if any of the following apply:</w:t>
      </w:r>
    </w:p>
    <w:p w14:paraId="5DC59E47" w14:textId="0BB864F9" w:rsidR="00DF2D34" w:rsidRDefault="00DF2D34" w:rsidP="00E17EB2">
      <w:pPr>
        <w:pStyle w:val="ListParagraph"/>
        <w:numPr>
          <w:ilvl w:val="0"/>
          <w:numId w:val="30"/>
        </w:numPr>
        <w:jc w:val="both"/>
        <w:rPr>
          <w:rFonts w:ascii="Calibri" w:hAnsi="Calibri" w:cs="Calibri"/>
        </w:rPr>
      </w:pPr>
      <w:r>
        <w:rPr>
          <w:rFonts w:ascii="Calibri" w:hAnsi="Calibri" w:cs="Calibri"/>
        </w:rPr>
        <w:t>T</w:t>
      </w:r>
      <w:r w:rsidRPr="00530F6D">
        <w:rPr>
          <w:rFonts w:ascii="Calibri" w:hAnsi="Calibri" w:cs="Calibri"/>
        </w:rPr>
        <w:t xml:space="preserve">he CI is substantively employed by the </w:t>
      </w:r>
      <w:r w:rsidR="008F04A7">
        <w:rPr>
          <w:rFonts w:ascii="Calibri" w:hAnsi="Calibri" w:cs="Calibri"/>
        </w:rPr>
        <w:t>UoC</w:t>
      </w:r>
      <w:r w:rsidRPr="00530F6D">
        <w:rPr>
          <w:rFonts w:ascii="Calibri" w:hAnsi="Calibri" w:cs="Calibri"/>
        </w:rPr>
        <w:t xml:space="preserve"> and data from CUH are being used</w:t>
      </w:r>
    </w:p>
    <w:p w14:paraId="598E728E" w14:textId="1A679306" w:rsidR="00DF2D34" w:rsidRPr="00EF7E15" w:rsidRDefault="00DF2D34" w:rsidP="00E17EB2">
      <w:pPr>
        <w:pStyle w:val="ListParagraph"/>
        <w:numPr>
          <w:ilvl w:val="0"/>
          <w:numId w:val="30"/>
        </w:numPr>
        <w:jc w:val="both"/>
        <w:rPr>
          <w:rFonts w:ascii="Calibri" w:hAnsi="Calibri" w:cs="Calibri"/>
        </w:rPr>
      </w:pPr>
      <w:r>
        <w:rPr>
          <w:rFonts w:ascii="Calibri" w:hAnsi="Calibri" w:cs="Calibri"/>
        </w:rPr>
        <w:t>w</w:t>
      </w:r>
      <w:r w:rsidRPr="00530F6D">
        <w:rPr>
          <w:rFonts w:ascii="Calibri" w:hAnsi="Calibri" w:cs="Calibri"/>
        </w:rPr>
        <w:t>here research forms part of an educational qualification</w:t>
      </w:r>
      <w:r>
        <w:rPr>
          <w:rFonts w:ascii="Calibri" w:hAnsi="Calibri" w:cs="Calibri"/>
        </w:rPr>
        <w:t xml:space="preserve"> being awarded by the </w:t>
      </w:r>
      <w:r w:rsidR="0028403B">
        <w:rPr>
          <w:rFonts w:ascii="Calibri" w:hAnsi="Calibri" w:cs="Calibri"/>
        </w:rPr>
        <w:t>UoC</w:t>
      </w:r>
    </w:p>
    <w:p w14:paraId="48CD8894" w14:textId="77777777" w:rsidR="00DF2D34" w:rsidRDefault="00DF2D34" w:rsidP="00E17EB2">
      <w:pPr>
        <w:jc w:val="both"/>
        <w:rPr>
          <w:rFonts w:ascii="Calibri" w:hAnsi="Calibri" w:cs="Calibri"/>
        </w:rPr>
      </w:pPr>
    </w:p>
    <w:p w14:paraId="0FFD76A7" w14:textId="10D962E1" w:rsidR="00DF2D34" w:rsidRDefault="00DF2D34" w:rsidP="00E17EB2">
      <w:pPr>
        <w:jc w:val="both"/>
        <w:rPr>
          <w:rFonts w:ascii="Calibri" w:hAnsi="Calibri" w:cs="Calibri"/>
        </w:rPr>
      </w:pPr>
      <w:r w:rsidRPr="00455374">
        <w:rPr>
          <w:rFonts w:ascii="Calibri" w:hAnsi="Calibri" w:cs="Calibri"/>
        </w:rPr>
        <w:t>Studen</w:t>
      </w:r>
      <w:r w:rsidR="008919CD" w:rsidRPr="004B6A39">
        <w:rPr>
          <w:rFonts w:ascii="Calibri" w:hAnsi="Calibri" w:cs="Calibri"/>
        </w:rPr>
        <w:t>ts should not normally take on the role of CI, unless</w:t>
      </w:r>
      <w:r w:rsidR="00D4652F" w:rsidRPr="004B6A39">
        <w:rPr>
          <w:rFonts w:ascii="Calibri" w:hAnsi="Calibri" w:cs="Calibri"/>
        </w:rPr>
        <w:t xml:space="preserve"> they are </w:t>
      </w:r>
      <w:r w:rsidR="00F317A3" w:rsidRPr="004B6A39">
        <w:rPr>
          <w:rFonts w:ascii="Calibri" w:hAnsi="Calibri" w:cs="Calibri"/>
        </w:rPr>
        <w:t>an experienced practitioner or manag</w:t>
      </w:r>
      <w:r w:rsidR="00F317A3">
        <w:rPr>
          <w:rFonts w:ascii="Calibri" w:hAnsi="Calibri" w:cs="Calibri"/>
        </w:rPr>
        <w:t>er undertaking an educational qualification</w:t>
      </w:r>
      <w:r w:rsidR="00B35703">
        <w:rPr>
          <w:rFonts w:ascii="Calibri" w:hAnsi="Calibri" w:cs="Calibri"/>
        </w:rPr>
        <w:t xml:space="preserve">, or a researcher </w:t>
      </w:r>
      <w:r w:rsidR="00B92037">
        <w:rPr>
          <w:rFonts w:ascii="Calibri" w:hAnsi="Calibri" w:cs="Calibri"/>
        </w:rPr>
        <w:t xml:space="preserve">completing a fellowship.  For more information, please see </w:t>
      </w:r>
      <w:hyperlink r:id="rId29" w:anchor="scope" w:history="1">
        <w:r w:rsidR="00B92037" w:rsidRPr="00B058AB">
          <w:rPr>
            <w:rStyle w:val="Hyperlink"/>
            <w:rFonts w:ascii="Calibri" w:hAnsi="Calibri" w:cs="Calibri"/>
          </w:rPr>
          <w:t>section 9.3</w:t>
        </w:r>
      </w:hyperlink>
      <w:r w:rsidR="00B92037">
        <w:rPr>
          <w:rFonts w:ascii="Calibri" w:hAnsi="Calibri" w:cs="Calibri"/>
        </w:rPr>
        <w:t xml:space="preserve"> in the </w:t>
      </w:r>
      <w:r w:rsidR="00B058AB">
        <w:rPr>
          <w:rFonts w:ascii="Calibri" w:hAnsi="Calibri" w:cs="Calibri"/>
        </w:rPr>
        <w:t>UK Policy Framework for Health and Social Care Research.</w:t>
      </w:r>
    </w:p>
    <w:p w14:paraId="0218FD30" w14:textId="06748E32" w:rsidR="00EC5551" w:rsidRDefault="00EC5551" w:rsidP="00E17EB2">
      <w:pPr>
        <w:jc w:val="both"/>
        <w:rPr>
          <w:rFonts w:ascii="Calibri" w:hAnsi="Calibri" w:cs="Calibri"/>
        </w:rPr>
      </w:pPr>
    </w:p>
    <w:p w14:paraId="198F33CB" w14:textId="41C685DD" w:rsidR="001645AD" w:rsidRPr="00455374" w:rsidRDefault="001F01CE" w:rsidP="00E17EB2">
      <w:pPr>
        <w:pStyle w:val="Heading3"/>
        <w:jc w:val="both"/>
        <w:rPr>
          <w:rFonts w:ascii="Calibri" w:hAnsi="Calibri" w:cs="Calibri"/>
          <w:bCs/>
          <w:sz w:val="28"/>
          <w:szCs w:val="28"/>
          <w:u w:val="single"/>
        </w:rPr>
      </w:pPr>
      <w:bookmarkStart w:id="9" w:name="_Toc204260171"/>
      <w:r w:rsidRPr="00455374">
        <w:rPr>
          <w:rFonts w:ascii="Calibri" w:hAnsi="Calibri" w:cs="Calibri"/>
          <w:bCs/>
          <w:color w:val="auto"/>
          <w:szCs w:val="28"/>
          <w:u w:val="single"/>
        </w:rPr>
        <w:t>2.4.1</w:t>
      </w:r>
      <w:r w:rsidR="001645AD" w:rsidRPr="00455374">
        <w:rPr>
          <w:rFonts w:ascii="Calibri" w:hAnsi="Calibri" w:cs="Calibri"/>
          <w:bCs/>
          <w:color w:val="auto"/>
          <w:szCs w:val="28"/>
          <w:u w:val="single"/>
        </w:rPr>
        <w:t xml:space="preserve"> Cambridge</w:t>
      </w:r>
      <w:r w:rsidR="00D153CF" w:rsidRPr="00455374">
        <w:rPr>
          <w:rFonts w:ascii="Calibri" w:hAnsi="Calibri" w:cs="Calibri"/>
          <w:bCs/>
          <w:color w:val="auto"/>
          <w:szCs w:val="28"/>
          <w:u w:val="single"/>
        </w:rPr>
        <w:t>-</w:t>
      </w:r>
      <w:r w:rsidR="001645AD" w:rsidRPr="00455374">
        <w:rPr>
          <w:rFonts w:ascii="Calibri" w:hAnsi="Calibri" w:cs="Calibri"/>
          <w:bCs/>
          <w:color w:val="auto"/>
          <w:szCs w:val="28"/>
          <w:u w:val="single"/>
        </w:rPr>
        <w:t>only studies</w:t>
      </w:r>
      <w:bookmarkEnd w:id="9"/>
    </w:p>
    <w:p w14:paraId="0CCE6F3A" w14:textId="7F9525AC" w:rsidR="001645AD" w:rsidRDefault="001645AD" w:rsidP="00E17EB2">
      <w:pPr>
        <w:jc w:val="both"/>
      </w:pPr>
    </w:p>
    <w:p w14:paraId="17D32781" w14:textId="1DBBCAAE" w:rsidR="001645AD" w:rsidRDefault="001645AD" w:rsidP="00E17EB2">
      <w:pPr>
        <w:jc w:val="both"/>
        <w:rPr>
          <w:rFonts w:ascii="Calibri" w:hAnsi="Calibri" w:cs="Calibri"/>
        </w:rPr>
      </w:pPr>
      <w:r>
        <w:rPr>
          <w:rFonts w:ascii="Calibri" w:hAnsi="Calibri" w:cs="Calibri"/>
        </w:rPr>
        <w:t xml:space="preserve">The ERIN database received generic ethical approval for research studies utilising de-identified routinely collected CUH data </w:t>
      </w:r>
      <w:r w:rsidR="00D31CB4">
        <w:rPr>
          <w:rFonts w:ascii="Calibri" w:hAnsi="Calibri" w:cs="Calibri"/>
        </w:rPr>
        <w:t>where the data remains within</w:t>
      </w:r>
      <w:r>
        <w:rPr>
          <w:rFonts w:ascii="Calibri" w:hAnsi="Calibri" w:cs="Calibri"/>
        </w:rPr>
        <w:t xml:space="preserve"> CUH or the </w:t>
      </w:r>
      <w:r w:rsidR="0028403B">
        <w:rPr>
          <w:rFonts w:ascii="Calibri" w:hAnsi="Calibri" w:cs="Calibri"/>
        </w:rPr>
        <w:t>UoC</w:t>
      </w:r>
      <w:r w:rsidR="00E73C57">
        <w:rPr>
          <w:rFonts w:ascii="Calibri" w:hAnsi="Calibri" w:cs="Calibri"/>
        </w:rPr>
        <w:t xml:space="preserve"> (with the exception of commercial research)</w:t>
      </w:r>
      <w:r w:rsidR="0055191F">
        <w:rPr>
          <w:rFonts w:ascii="Calibri" w:hAnsi="Calibri" w:cs="Calibri"/>
        </w:rPr>
        <w:t xml:space="preserve">. </w:t>
      </w:r>
      <w:r w:rsidR="0055191F" w:rsidRPr="00634CB7">
        <w:rPr>
          <w:rFonts w:ascii="Calibri" w:hAnsi="Calibri" w:cs="Calibri"/>
        </w:rPr>
        <w:t xml:space="preserve">Generic ethical approval means that the ERIN PIP and ERIN DAC </w:t>
      </w:r>
      <w:r w:rsidR="00451FCD" w:rsidRPr="00634CB7">
        <w:rPr>
          <w:rFonts w:ascii="Calibri" w:hAnsi="Calibri" w:cs="Calibri"/>
        </w:rPr>
        <w:t>can</w:t>
      </w:r>
      <w:r w:rsidR="0055191F" w:rsidRPr="00634CB7">
        <w:rPr>
          <w:rFonts w:ascii="Calibri" w:hAnsi="Calibri" w:cs="Calibri"/>
        </w:rPr>
        <w:t xml:space="preserve"> approve research projects </w:t>
      </w:r>
      <w:r w:rsidR="00451FCD" w:rsidRPr="00634CB7">
        <w:rPr>
          <w:rFonts w:ascii="Calibri" w:hAnsi="Calibri" w:cs="Calibri"/>
        </w:rPr>
        <w:t xml:space="preserve">where data is staying </w:t>
      </w:r>
      <w:r w:rsidR="00AC0977" w:rsidRPr="00634CB7">
        <w:rPr>
          <w:rFonts w:ascii="Calibri" w:hAnsi="Calibri" w:cs="Calibri"/>
        </w:rPr>
        <w:t>within</w:t>
      </w:r>
      <w:r w:rsidR="00451FCD" w:rsidRPr="00634CB7">
        <w:rPr>
          <w:rFonts w:ascii="Calibri" w:hAnsi="Calibri" w:cs="Calibri"/>
        </w:rPr>
        <w:t xml:space="preserve"> Cambridge</w:t>
      </w:r>
      <w:r w:rsidR="00AC0977" w:rsidRPr="00634CB7">
        <w:rPr>
          <w:rFonts w:ascii="Calibri" w:hAnsi="Calibri" w:cs="Calibri"/>
        </w:rPr>
        <w:t xml:space="preserve"> (CUH and UoC sites)</w:t>
      </w:r>
      <w:r w:rsidR="00451FCD" w:rsidRPr="00634CB7">
        <w:rPr>
          <w:rFonts w:ascii="Calibri" w:hAnsi="Calibri" w:cs="Calibri"/>
        </w:rPr>
        <w:t xml:space="preserve"> </w:t>
      </w:r>
      <w:r w:rsidR="0055191F" w:rsidRPr="00634CB7">
        <w:rPr>
          <w:rFonts w:ascii="Calibri" w:hAnsi="Calibri" w:cs="Calibri"/>
        </w:rPr>
        <w:t>without any further regulatory review required.</w:t>
      </w:r>
      <w:r w:rsidR="00B71833">
        <w:rPr>
          <w:rFonts w:ascii="Calibri" w:hAnsi="Calibri" w:cs="Calibri"/>
        </w:rPr>
        <w:t xml:space="preserve"> </w:t>
      </w:r>
      <w:r w:rsidR="0055191F">
        <w:rPr>
          <w:rFonts w:ascii="Calibri" w:hAnsi="Calibri" w:cs="Calibri"/>
        </w:rPr>
        <w:t xml:space="preserve">To fall within the ERIN generic ethical approval, CUH must be the only NHS </w:t>
      </w:r>
      <w:r w:rsidR="00D81D02">
        <w:rPr>
          <w:rFonts w:ascii="Calibri" w:hAnsi="Calibri" w:cs="Calibri"/>
        </w:rPr>
        <w:t>site,</w:t>
      </w:r>
      <w:r w:rsidR="00C45CD0">
        <w:rPr>
          <w:rFonts w:ascii="Calibri" w:hAnsi="Calibri" w:cs="Calibri"/>
        </w:rPr>
        <w:t xml:space="preserve"> and the study must be CUH or </w:t>
      </w:r>
      <w:r w:rsidR="0028403B">
        <w:rPr>
          <w:rFonts w:ascii="Calibri" w:hAnsi="Calibri" w:cs="Calibri"/>
        </w:rPr>
        <w:t xml:space="preserve">UoC </w:t>
      </w:r>
      <w:r w:rsidR="00C45CD0">
        <w:rPr>
          <w:rFonts w:ascii="Calibri" w:hAnsi="Calibri" w:cs="Calibri"/>
        </w:rPr>
        <w:t>led</w:t>
      </w:r>
      <w:r w:rsidR="0055191F">
        <w:rPr>
          <w:rFonts w:ascii="Calibri" w:hAnsi="Calibri" w:cs="Calibri"/>
        </w:rPr>
        <w:t xml:space="preserve">. </w:t>
      </w:r>
      <w:r w:rsidR="004D00CC">
        <w:rPr>
          <w:rFonts w:ascii="Calibri" w:hAnsi="Calibri" w:cs="Calibri"/>
        </w:rPr>
        <w:t>Pease note, an external academic site used purely for data analysis is permitted and would not classify as a research site.</w:t>
      </w:r>
    </w:p>
    <w:p w14:paraId="7752A189" w14:textId="485B2697" w:rsidR="000A068E" w:rsidRPr="00FB3629" w:rsidRDefault="000A068E">
      <w:pPr>
        <w:jc w:val="both"/>
        <w:rPr>
          <w:rFonts w:ascii="Calibri" w:hAnsi="Calibri" w:cs="Calibri"/>
          <w:b/>
          <w:u w:val="single"/>
        </w:rPr>
      </w:pPr>
      <w:r w:rsidRPr="00455374">
        <w:rPr>
          <w:rFonts w:ascii="Calibri" w:hAnsi="Calibri" w:cs="Calibri"/>
          <w:bCs/>
        </w:rPr>
        <w:t>For Cambridge-only studies, the</w:t>
      </w:r>
      <w:r>
        <w:rPr>
          <w:rFonts w:ascii="Calibri" w:hAnsi="Calibri" w:cs="Calibri"/>
        </w:rPr>
        <w:t xml:space="preserve"> following documents and approvals are required </w:t>
      </w:r>
      <w:r w:rsidR="001D04DF">
        <w:rPr>
          <w:rFonts w:ascii="Calibri" w:hAnsi="Calibri" w:cs="Calibri"/>
        </w:rPr>
        <w:t>to open a study</w:t>
      </w:r>
      <w:r>
        <w:rPr>
          <w:rFonts w:ascii="Calibri" w:hAnsi="Calibri" w:cs="Calibri"/>
        </w:rPr>
        <w:t>:</w:t>
      </w:r>
    </w:p>
    <w:p w14:paraId="380BFF47" w14:textId="1885BDC6" w:rsidR="000A068E" w:rsidRDefault="000A068E" w:rsidP="00E17EB2">
      <w:pPr>
        <w:pStyle w:val="ListParagraph"/>
        <w:numPr>
          <w:ilvl w:val="0"/>
          <w:numId w:val="25"/>
        </w:numPr>
        <w:jc w:val="both"/>
        <w:rPr>
          <w:rFonts w:ascii="Calibri" w:hAnsi="Calibri" w:cs="Calibri"/>
        </w:rPr>
      </w:pPr>
      <w:r>
        <w:rPr>
          <w:rFonts w:ascii="Calibri" w:hAnsi="Calibri" w:cs="Calibri"/>
        </w:rPr>
        <w:t>ERIN Data Access Application or a</w:t>
      </w:r>
      <w:r w:rsidR="008D574E">
        <w:rPr>
          <w:rFonts w:ascii="Calibri" w:hAnsi="Calibri" w:cs="Calibri"/>
        </w:rPr>
        <w:t xml:space="preserve"> protocol</w:t>
      </w:r>
      <w:r w:rsidR="00BB5A21">
        <w:rPr>
          <w:rFonts w:ascii="Calibri" w:hAnsi="Calibri" w:cs="Calibri"/>
        </w:rPr>
        <w:t xml:space="preserve"> (a de-identified protocol template is available)</w:t>
      </w:r>
    </w:p>
    <w:p w14:paraId="6ED3F3DA" w14:textId="533AF84F" w:rsidR="008D574E" w:rsidRDefault="008D574E" w:rsidP="00E17EB2">
      <w:pPr>
        <w:pStyle w:val="ListParagraph"/>
        <w:numPr>
          <w:ilvl w:val="0"/>
          <w:numId w:val="25"/>
        </w:numPr>
        <w:jc w:val="both"/>
        <w:rPr>
          <w:rFonts w:ascii="Calibri" w:hAnsi="Calibri" w:cs="Calibri"/>
        </w:rPr>
      </w:pPr>
      <w:r>
        <w:rPr>
          <w:rFonts w:ascii="Calibri" w:hAnsi="Calibri" w:cs="Calibri"/>
        </w:rPr>
        <w:t xml:space="preserve">PI signature and </w:t>
      </w:r>
      <w:r w:rsidR="00563986">
        <w:rPr>
          <w:rFonts w:ascii="Calibri" w:hAnsi="Calibri" w:cs="Calibri"/>
        </w:rPr>
        <w:t>relevant clinical</w:t>
      </w:r>
      <w:r>
        <w:rPr>
          <w:rFonts w:ascii="Calibri" w:hAnsi="Calibri" w:cs="Calibri"/>
        </w:rPr>
        <w:t xml:space="preserve"> lead signature – either on the application or a</w:t>
      </w:r>
      <w:r w:rsidR="00362E0F">
        <w:rPr>
          <w:rFonts w:ascii="Calibri" w:hAnsi="Calibri" w:cs="Calibri"/>
        </w:rPr>
        <w:t>s separate forms provided</w:t>
      </w:r>
    </w:p>
    <w:p w14:paraId="3F4D2008" w14:textId="09A66155" w:rsidR="000A068E" w:rsidRDefault="000A068E" w:rsidP="00E17EB2">
      <w:pPr>
        <w:pStyle w:val="ListParagraph"/>
        <w:numPr>
          <w:ilvl w:val="0"/>
          <w:numId w:val="25"/>
        </w:numPr>
        <w:jc w:val="both"/>
        <w:rPr>
          <w:rFonts w:ascii="Calibri" w:hAnsi="Calibri" w:cs="Calibri"/>
        </w:rPr>
      </w:pPr>
      <w:r>
        <w:rPr>
          <w:rFonts w:ascii="Calibri" w:hAnsi="Calibri" w:cs="Calibri"/>
        </w:rPr>
        <w:t>PI and CI CV</w:t>
      </w:r>
      <w:r w:rsidR="00FE0CC0">
        <w:rPr>
          <w:rFonts w:ascii="Calibri" w:hAnsi="Calibri" w:cs="Calibri"/>
        </w:rPr>
        <w:t>, and any members of the team accessing identifiable data</w:t>
      </w:r>
    </w:p>
    <w:p w14:paraId="0CD2B990" w14:textId="6AD1E408" w:rsidR="000A068E" w:rsidRDefault="000A068E" w:rsidP="00E17EB2">
      <w:pPr>
        <w:pStyle w:val="ListParagraph"/>
        <w:numPr>
          <w:ilvl w:val="0"/>
          <w:numId w:val="25"/>
        </w:numPr>
        <w:jc w:val="both"/>
        <w:rPr>
          <w:rFonts w:ascii="Calibri" w:hAnsi="Calibri" w:cs="Calibri"/>
        </w:rPr>
      </w:pPr>
      <w:r>
        <w:rPr>
          <w:rFonts w:ascii="Calibri" w:hAnsi="Calibri" w:cs="Calibri"/>
        </w:rPr>
        <w:t xml:space="preserve">Data </w:t>
      </w:r>
      <w:r w:rsidR="005D5348">
        <w:rPr>
          <w:rFonts w:ascii="Calibri" w:hAnsi="Calibri" w:cs="Calibri"/>
        </w:rPr>
        <w:t>Sharing</w:t>
      </w:r>
      <w:r>
        <w:rPr>
          <w:rFonts w:ascii="Calibri" w:hAnsi="Calibri" w:cs="Calibri"/>
        </w:rPr>
        <w:t xml:space="preserve"> Agreement if the </w:t>
      </w:r>
      <w:r w:rsidR="0028403B">
        <w:rPr>
          <w:rFonts w:ascii="Calibri" w:hAnsi="Calibri" w:cs="Calibri"/>
        </w:rPr>
        <w:t>UoC</w:t>
      </w:r>
      <w:r>
        <w:rPr>
          <w:rFonts w:ascii="Calibri" w:hAnsi="Calibri" w:cs="Calibri"/>
        </w:rPr>
        <w:t xml:space="preserve"> is a site (see section </w:t>
      </w:r>
      <w:r w:rsidR="007566F5">
        <w:rPr>
          <w:rFonts w:ascii="Calibri" w:hAnsi="Calibri" w:cs="Calibri"/>
        </w:rPr>
        <w:t>2.7</w:t>
      </w:r>
      <w:r>
        <w:rPr>
          <w:rFonts w:ascii="Calibri" w:hAnsi="Calibri" w:cs="Calibri"/>
        </w:rPr>
        <w:t>)</w:t>
      </w:r>
    </w:p>
    <w:p w14:paraId="0B2576F3" w14:textId="77777777" w:rsidR="000A068E" w:rsidRDefault="000A068E" w:rsidP="00E17EB2">
      <w:pPr>
        <w:pStyle w:val="ListParagraph"/>
        <w:numPr>
          <w:ilvl w:val="0"/>
          <w:numId w:val="25"/>
        </w:numPr>
        <w:jc w:val="both"/>
        <w:rPr>
          <w:rFonts w:ascii="Calibri" w:hAnsi="Calibri" w:cs="Calibri"/>
        </w:rPr>
      </w:pPr>
      <w:r>
        <w:rPr>
          <w:rFonts w:ascii="Calibri" w:hAnsi="Calibri" w:cs="Calibri"/>
        </w:rPr>
        <w:t>An award letter, if any funding is available</w:t>
      </w:r>
    </w:p>
    <w:p w14:paraId="3750ED25" w14:textId="65D4A800" w:rsidR="000A068E" w:rsidRPr="00FB3629" w:rsidRDefault="00D6305D" w:rsidP="00E17EB2">
      <w:pPr>
        <w:pStyle w:val="ListParagraph"/>
        <w:numPr>
          <w:ilvl w:val="0"/>
          <w:numId w:val="25"/>
        </w:numPr>
        <w:jc w:val="both"/>
        <w:rPr>
          <w:rFonts w:ascii="Calibri" w:hAnsi="Calibri" w:cs="Calibri"/>
        </w:rPr>
      </w:pPr>
      <w:r>
        <w:rPr>
          <w:rFonts w:ascii="Calibri" w:hAnsi="Calibri" w:cs="Calibri"/>
        </w:rPr>
        <w:t>DP</w:t>
      </w:r>
      <w:r w:rsidR="000A068E">
        <w:rPr>
          <w:rFonts w:ascii="Calibri" w:hAnsi="Calibri" w:cs="Calibri"/>
        </w:rPr>
        <w:t xml:space="preserve"> obtained by the governance team</w:t>
      </w:r>
    </w:p>
    <w:p w14:paraId="7377FA40" w14:textId="77777777" w:rsidR="000A068E" w:rsidRDefault="000A068E" w:rsidP="00E17EB2">
      <w:pPr>
        <w:jc w:val="both"/>
      </w:pPr>
    </w:p>
    <w:p w14:paraId="77CB117B" w14:textId="1A2A5802" w:rsidR="00EC5551" w:rsidRDefault="00EC5551" w:rsidP="00E17EB2">
      <w:pPr>
        <w:jc w:val="both"/>
      </w:pPr>
    </w:p>
    <w:p w14:paraId="657F126D" w14:textId="77777777" w:rsidR="00E17EB2" w:rsidRPr="0030465C" w:rsidRDefault="00E17EB2" w:rsidP="00E17EB2">
      <w:pPr>
        <w:jc w:val="both"/>
      </w:pPr>
    </w:p>
    <w:p w14:paraId="29757137" w14:textId="2E0DDA20" w:rsidR="001645AD" w:rsidRPr="00455374" w:rsidRDefault="001F01CE" w:rsidP="00E17EB2">
      <w:pPr>
        <w:pStyle w:val="Heading3"/>
        <w:jc w:val="both"/>
        <w:rPr>
          <w:rFonts w:ascii="Calibri" w:hAnsi="Calibri" w:cs="Calibri"/>
          <w:bCs/>
          <w:u w:val="single"/>
        </w:rPr>
      </w:pPr>
      <w:bookmarkStart w:id="10" w:name="_Toc204260172"/>
      <w:r w:rsidRPr="00455374">
        <w:rPr>
          <w:rFonts w:ascii="Calibri" w:hAnsi="Calibri" w:cs="Calibri"/>
          <w:bCs/>
          <w:color w:val="auto"/>
          <w:szCs w:val="28"/>
          <w:u w:val="single"/>
        </w:rPr>
        <w:lastRenderedPageBreak/>
        <w:t>2.4.2</w:t>
      </w:r>
      <w:r w:rsidR="0055191F" w:rsidRPr="00455374">
        <w:rPr>
          <w:rFonts w:ascii="Calibri" w:hAnsi="Calibri" w:cs="Calibri"/>
          <w:bCs/>
          <w:color w:val="auto"/>
          <w:szCs w:val="28"/>
          <w:u w:val="single"/>
        </w:rPr>
        <w:t xml:space="preserve"> Cambridge</w:t>
      </w:r>
      <w:r w:rsidR="00F76623" w:rsidRPr="00455374">
        <w:rPr>
          <w:rFonts w:ascii="Calibri" w:hAnsi="Calibri" w:cs="Calibri"/>
          <w:bCs/>
          <w:color w:val="auto"/>
          <w:szCs w:val="28"/>
          <w:u w:val="single"/>
        </w:rPr>
        <w:t>-</w:t>
      </w:r>
      <w:r w:rsidR="0055191F" w:rsidRPr="00455374">
        <w:rPr>
          <w:rFonts w:ascii="Calibri" w:hAnsi="Calibri" w:cs="Calibri"/>
          <w:bCs/>
          <w:color w:val="auto"/>
          <w:szCs w:val="28"/>
          <w:u w:val="single"/>
        </w:rPr>
        <w:t>led, multi-site studies</w:t>
      </w:r>
      <w:bookmarkEnd w:id="10"/>
    </w:p>
    <w:p w14:paraId="17ADBBBD" w14:textId="4A498273" w:rsidR="0055191F" w:rsidRDefault="0055191F" w:rsidP="00E17EB2">
      <w:pPr>
        <w:jc w:val="both"/>
      </w:pPr>
    </w:p>
    <w:p w14:paraId="1CE7BF76" w14:textId="3E404D50" w:rsidR="009C3E95" w:rsidRPr="00E17EB2" w:rsidRDefault="00530F6D" w:rsidP="00E17EB2">
      <w:pPr>
        <w:jc w:val="both"/>
        <w:rPr>
          <w:rFonts w:cstheme="minorHAnsi"/>
        </w:rPr>
      </w:pPr>
      <w:r w:rsidRPr="00E17EB2">
        <w:rPr>
          <w:rFonts w:cstheme="minorHAnsi"/>
        </w:rPr>
        <w:t>Cambridg</w:t>
      </w:r>
      <w:r w:rsidR="00440672" w:rsidRPr="00E17EB2">
        <w:rPr>
          <w:rFonts w:cstheme="minorHAnsi"/>
        </w:rPr>
        <w:t>e</w:t>
      </w:r>
      <w:r w:rsidR="00F76623" w:rsidRPr="00E17EB2">
        <w:rPr>
          <w:rFonts w:cstheme="minorHAnsi"/>
        </w:rPr>
        <w:t>-</w:t>
      </w:r>
      <w:r w:rsidRPr="00E17EB2">
        <w:rPr>
          <w:rFonts w:cstheme="minorHAnsi"/>
        </w:rPr>
        <w:t xml:space="preserve">led, multi-site studies will require review by the ERIN PIP and ERIN DAC. Following ERIN review, </w:t>
      </w:r>
      <w:r w:rsidR="006643E6" w:rsidRPr="00E17EB2">
        <w:rPr>
          <w:rFonts w:cstheme="minorHAnsi"/>
        </w:rPr>
        <w:t xml:space="preserve">HRA </w:t>
      </w:r>
      <w:r w:rsidRPr="00E17EB2">
        <w:rPr>
          <w:rFonts w:cstheme="minorHAnsi"/>
        </w:rPr>
        <w:t>approval will be required for multi-site studies</w:t>
      </w:r>
      <w:r w:rsidR="009C3E95" w:rsidRPr="00E17EB2">
        <w:rPr>
          <w:rFonts w:cstheme="minorHAnsi"/>
        </w:rPr>
        <w:t xml:space="preserve"> as ERIN general approvals do not cover other sites.</w:t>
      </w:r>
    </w:p>
    <w:p w14:paraId="08C0958B" w14:textId="43E2C15E" w:rsidR="003C37A0" w:rsidRPr="00E17EB2" w:rsidRDefault="009C3E95" w:rsidP="00E17EB2">
      <w:pPr>
        <w:jc w:val="both"/>
        <w:rPr>
          <w:rFonts w:cstheme="minorHAnsi"/>
        </w:rPr>
      </w:pPr>
      <w:r w:rsidRPr="00E17EB2">
        <w:rPr>
          <w:rFonts w:cstheme="minorHAnsi"/>
        </w:rPr>
        <w:t>This will be sough</w:t>
      </w:r>
      <w:r w:rsidR="005D5348" w:rsidRPr="00E17EB2">
        <w:rPr>
          <w:rFonts w:cstheme="minorHAnsi"/>
        </w:rPr>
        <w:t>t</w:t>
      </w:r>
      <w:r w:rsidRPr="00E17EB2">
        <w:rPr>
          <w:rFonts w:cstheme="minorHAnsi"/>
        </w:rPr>
        <w:t xml:space="preserve"> through </w:t>
      </w:r>
      <w:r w:rsidR="00E300F3" w:rsidRPr="00E17EB2">
        <w:rPr>
          <w:rFonts w:cstheme="minorHAnsi"/>
        </w:rPr>
        <w:t xml:space="preserve">an </w:t>
      </w:r>
      <w:r w:rsidR="00A902ED" w:rsidRPr="00E17EB2">
        <w:rPr>
          <w:rFonts w:cstheme="minorHAnsi"/>
        </w:rPr>
        <w:t>Integrated Research Application System (</w:t>
      </w:r>
      <w:r w:rsidR="00E300F3" w:rsidRPr="00E17EB2">
        <w:rPr>
          <w:rFonts w:cstheme="minorHAnsi"/>
        </w:rPr>
        <w:t>IRAS</w:t>
      </w:r>
      <w:r w:rsidR="00A902ED" w:rsidRPr="00E17EB2">
        <w:rPr>
          <w:rFonts w:cstheme="minorHAnsi"/>
        </w:rPr>
        <w:t>)</w:t>
      </w:r>
      <w:r w:rsidR="00E300F3" w:rsidRPr="00E17EB2">
        <w:rPr>
          <w:rFonts w:cstheme="minorHAnsi"/>
        </w:rPr>
        <w:t xml:space="preserve"> applicatio</w:t>
      </w:r>
      <w:r w:rsidR="00E2675E" w:rsidRPr="00E17EB2">
        <w:rPr>
          <w:rFonts w:cstheme="minorHAnsi"/>
        </w:rPr>
        <w:t>n</w:t>
      </w:r>
      <w:r w:rsidR="002451AD" w:rsidRPr="00E17EB2">
        <w:rPr>
          <w:rFonts w:cstheme="minorHAnsi"/>
        </w:rPr>
        <w:t>. The sponsor will be required to provide a Localised Information Pack (LIP) to each site</w:t>
      </w:r>
      <w:r w:rsidR="00E17E79" w:rsidRPr="00E17EB2">
        <w:rPr>
          <w:rFonts w:cstheme="minorHAnsi"/>
        </w:rPr>
        <w:t xml:space="preserve"> being set-up. The IRAS provide detailed guidance on what </w:t>
      </w:r>
      <w:r w:rsidR="008E2741" w:rsidRPr="00E17EB2">
        <w:rPr>
          <w:rFonts w:cstheme="minorHAnsi"/>
        </w:rPr>
        <w:t>this includes</w:t>
      </w:r>
      <w:r w:rsidR="00E17E79" w:rsidRPr="00E17EB2">
        <w:rPr>
          <w:rFonts w:cstheme="minorHAnsi"/>
        </w:rPr>
        <w:t xml:space="preserve"> </w:t>
      </w:r>
      <w:hyperlink r:id="rId30" w:history="1">
        <w:r w:rsidR="00E17E79" w:rsidRPr="00E17EB2">
          <w:rPr>
            <w:rStyle w:val="Hyperlink"/>
            <w:rFonts w:cstheme="minorHAnsi"/>
          </w:rPr>
          <w:t>here</w:t>
        </w:r>
      </w:hyperlink>
      <w:r w:rsidR="00E17E79" w:rsidRPr="00E17EB2">
        <w:rPr>
          <w:rFonts w:cstheme="minorHAnsi"/>
        </w:rPr>
        <w:t>.</w:t>
      </w:r>
      <w:r w:rsidR="00DA30B2" w:rsidRPr="00E17EB2">
        <w:rPr>
          <w:rFonts w:cstheme="minorHAnsi"/>
        </w:rPr>
        <w:t xml:space="preserve"> General guidance</w:t>
      </w:r>
      <w:r w:rsidR="00162065" w:rsidRPr="00E17EB2">
        <w:rPr>
          <w:rFonts w:cstheme="minorHAnsi"/>
        </w:rPr>
        <w:t xml:space="preserve"> for submission</w:t>
      </w:r>
      <w:r w:rsidR="00DA30B2" w:rsidRPr="00E17EB2">
        <w:rPr>
          <w:rFonts w:cstheme="minorHAnsi"/>
        </w:rPr>
        <w:t xml:space="preserve"> is also </w:t>
      </w:r>
      <w:hyperlink r:id="rId31" w:history="1">
        <w:r w:rsidR="00DA30B2" w:rsidRPr="00E17EB2">
          <w:rPr>
            <w:rStyle w:val="Hyperlink"/>
            <w:rFonts w:cstheme="minorHAnsi"/>
          </w:rPr>
          <w:t>available here</w:t>
        </w:r>
      </w:hyperlink>
      <w:r w:rsidR="00DA30B2" w:rsidRPr="00E17EB2">
        <w:rPr>
          <w:rFonts w:cstheme="minorHAnsi"/>
        </w:rPr>
        <w:t>. Further guidance on IRAS completion for CUH and CUH/</w:t>
      </w:r>
      <w:r w:rsidR="0028403B" w:rsidRPr="00E17EB2">
        <w:rPr>
          <w:rFonts w:cstheme="minorHAnsi"/>
        </w:rPr>
        <w:t>UoC</w:t>
      </w:r>
      <w:r w:rsidR="00DA30B2" w:rsidRPr="00E17EB2">
        <w:rPr>
          <w:rFonts w:cstheme="minorHAnsi"/>
        </w:rPr>
        <w:t xml:space="preserve"> sponsored studies is available from R&amp;D.</w:t>
      </w:r>
    </w:p>
    <w:p w14:paraId="30E48332" w14:textId="177A0C53" w:rsidR="00FF4EC7" w:rsidRPr="00E17EB2" w:rsidRDefault="00FF4EC7" w:rsidP="00E17EB2">
      <w:pPr>
        <w:jc w:val="both"/>
        <w:rPr>
          <w:rFonts w:cstheme="minorHAnsi"/>
        </w:rPr>
      </w:pPr>
      <w:r w:rsidRPr="00E17EB2">
        <w:rPr>
          <w:rFonts w:cstheme="minorHAnsi"/>
        </w:rPr>
        <w:t xml:space="preserve">In addition to the documentation listed in the above section, the following </w:t>
      </w:r>
      <w:r w:rsidR="00BE65AB" w:rsidRPr="00E17EB2">
        <w:rPr>
          <w:rFonts w:cstheme="minorHAnsi"/>
        </w:rPr>
        <w:t>are</w:t>
      </w:r>
      <w:r w:rsidRPr="00E17EB2">
        <w:rPr>
          <w:rFonts w:cstheme="minorHAnsi"/>
        </w:rPr>
        <w:t xml:space="preserve"> required</w:t>
      </w:r>
      <w:r w:rsidR="00BE65AB" w:rsidRPr="00E17EB2">
        <w:rPr>
          <w:rFonts w:cstheme="minorHAnsi"/>
        </w:rPr>
        <w:t xml:space="preserve"> for approval</w:t>
      </w:r>
      <w:r w:rsidR="006643E6" w:rsidRPr="00E17EB2">
        <w:rPr>
          <w:rFonts w:cstheme="minorHAnsi"/>
        </w:rPr>
        <w:t xml:space="preserve"> of jointly sponsored studies</w:t>
      </w:r>
      <w:r w:rsidRPr="00E17EB2">
        <w:rPr>
          <w:rFonts w:cstheme="minorHAnsi"/>
        </w:rPr>
        <w:t>:</w:t>
      </w:r>
    </w:p>
    <w:p w14:paraId="2AEF984B" w14:textId="4CA5B3B8" w:rsidR="00EC5551" w:rsidRPr="00E17EB2" w:rsidRDefault="00FF4EC7" w:rsidP="00E17EB2">
      <w:pPr>
        <w:pStyle w:val="ListParagraph"/>
        <w:numPr>
          <w:ilvl w:val="0"/>
          <w:numId w:val="31"/>
        </w:numPr>
        <w:jc w:val="both"/>
        <w:rPr>
          <w:rFonts w:cstheme="minorHAnsi"/>
        </w:rPr>
      </w:pPr>
      <w:r w:rsidRPr="00E17EB2">
        <w:rPr>
          <w:rFonts w:cstheme="minorHAnsi"/>
        </w:rPr>
        <w:t xml:space="preserve">Confirmation of insurance from the </w:t>
      </w:r>
      <w:r w:rsidR="0028403B" w:rsidRPr="00E17EB2">
        <w:rPr>
          <w:rFonts w:cstheme="minorHAnsi"/>
        </w:rPr>
        <w:t>UoC</w:t>
      </w:r>
      <w:r w:rsidRPr="00E17EB2">
        <w:rPr>
          <w:rFonts w:cstheme="minorHAnsi"/>
        </w:rPr>
        <w:t xml:space="preserve"> (by email</w:t>
      </w:r>
      <w:r w:rsidR="00224E4D" w:rsidRPr="00E17EB2">
        <w:rPr>
          <w:rFonts w:cstheme="minorHAnsi"/>
        </w:rPr>
        <w:t xml:space="preserve">ing </w:t>
      </w:r>
      <w:hyperlink r:id="rId32" w:history="1">
        <w:r w:rsidR="00EC5551" w:rsidRPr="00E17EB2">
          <w:rPr>
            <w:rStyle w:val="Hyperlink"/>
            <w:rFonts w:cstheme="minorHAnsi"/>
          </w:rPr>
          <w:t>insurance@admin.cam.ac.uk</w:t>
        </w:r>
      </w:hyperlink>
      <w:r w:rsidRPr="00E17EB2">
        <w:rPr>
          <w:rFonts w:cstheme="minorHAnsi"/>
        </w:rPr>
        <w:t>)</w:t>
      </w:r>
    </w:p>
    <w:p w14:paraId="4FFDE813" w14:textId="0B97FBDB" w:rsidR="00EC5551" w:rsidRPr="00E17EB2" w:rsidRDefault="00BE65AB" w:rsidP="00E17EB2">
      <w:pPr>
        <w:pStyle w:val="ListParagraph"/>
        <w:numPr>
          <w:ilvl w:val="0"/>
          <w:numId w:val="31"/>
        </w:numPr>
        <w:jc w:val="both"/>
        <w:rPr>
          <w:rFonts w:cstheme="minorHAnsi"/>
        </w:rPr>
      </w:pPr>
      <w:r w:rsidRPr="00E17EB2">
        <w:rPr>
          <w:rFonts w:cstheme="minorHAnsi"/>
        </w:rPr>
        <w:t>Joint sponsorship letter arranged</w:t>
      </w:r>
      <w:r w:rsidR="00224E4D" w:rsidRPr="00E17EB2">
        <w:rPr>
          <w:rFonts w:cstheme="minorHAnsi"/>
        </w:rPr>
        <w:t xml:space="preserve"> by</w:t>
      </w:r>
      <w:r w:rsidRPr="00E17EB2">
        <w:rPr>
          <w:rFonts w:cstheme="minorHAnsi"/>
        </w:rPr>
        <w:t xml:space="preserve"> the governance team, which is signed by </w:t>
      </w:r>
      <w:r w:rsidR="0028403B" w:rsidRPr="00E17EB2">
        <w:rPr>
          <w:rFonts w:cstheme="minorHAnsi"/>
        </w:rPr>
        <w:t>UoC</w:t>
      </w:r>
      <w:r w:rsidRPr="00E17EB2">
        <w:rPr>
          <w:rFonts w:cstheme="minorHAnsi"/>
        </w:rPr>
        <w:t xml:space="preserve"> </w:t>
      </w:r>
      <w:r w:rsidR="008E2741" w:rsidRPr="00E17EB2">
        <w:rPr>
          <w:rFonts w:cstheme="minorHAnsi"/>
        </w:rPr>
        <w:t>research governance</w:t>
      </w:r>
      <w:r w:rsidRPr="00E17EB2">
        <w:rPr>
          <w:rFonts w:cstheme="minorHAnsi"/>
        </w:rPr>
        <w:t xml:space="preserve"> once </w:t>
      </w:r>
      <w:r w:rsidR="003765D2" w:rsidRPr="00E17EB2">
        <w:rPr>
          <w:rFonts w:cstheme="minorHAnsi"/>
        </w:rPr>
        <w:t>funding is confirmed</w:t>
      </w:r>
    </w:p>
    <w:p w14:paraId="43365FB0" w14:textId="24C7AB13" w:rsidR="00526EE0" w:rsidRPr="00455374" w:rsidRDefault="00526EE0" w:rsidP="00E17EB2">
      <w:pPr>
        <w:jc w:val="both"/>
      </w:pPr>
    </w:p>
    <w:p w14:paraId="5DDCF809" w14:textId="3794EE09" w:rsidR="00530F6D" w:rsidRPr="00455374" w:rsidRDefault="001377D8" w:rsidP="00E17EB2">
      <w:pPr>
        <w:pStyle w:val="Heading3"/>
        <w:jc w:val="both"/>
        <w:rPr>
          <w:rFonts w:ascii="Calibri" w:hAnsi="Calibri" w:cs="Calibri"/>
          <w:bCs/>
          <w:sz w:val="28"/>
          <w:szCs w:val="28"/>
          <w:u w:val="single"/>
        </w:rPr>
      </w:pPr>
      <w:bookmarkStart w:id="11" w:name="_Toc204260173"/>
      <w:r w:rsidRPr="00455374">
        <w:rPr>
          <w:rFonts w:ascii="Calibri" w:hAnsi="Calibri" w:cs="Calibri"/>
          <w:bCs/>
          <w:color w:val="auto"/>
          <w:szCs w:val="28"/>
          <w:u w:val="single"/>
        </w:rPr>
        <w:t>2.</w:t>
      </w:r>
      <w:r w:rsidR="00EC5551" w:rsidRPr="00455374">
        <w:rPr>
          <w:rFonts w:ascii="Calibri" w:hAnsi="Calibri" w:cs="Calibri"/>
          <w:bCs/>
          <w:color w:val="auto"/>
          <w:szCs w:val="28"/>
          <w:u w:val="single"/>
        </w:rPr>
        <w:t xml:space="preserve">4.3 </w:t>
      </w:r>
      <w:r w:rsidR="00530F6D" w:rsidRPr="00455374">
        <w:rPr>
          <w:rFonts w:ascii="Calibri" w:hAnsi="Calibri" w:cs="Calibri"/>
          <w:bCs/>
          <w:color w:val="auto"/>
          <w:szCs w:val="28"/>
          <w:u w:val="single"/>
        </w:rPr>
        <w:t>Hosted studies</w:t>
      </w:r>
      <w:bookmarkEnd w:id="11"/>
    </w:p>
    <w:p w14:paraId="1AC5721F" w14:textId="775171F1" w:rsidR="00530F6D" w:rsidRDefault="00530F6D" w:rsidP="00E17EB2">
      <w:pPr>
        <w:jc w:val="both"/>
      </w:pPr>
    </w:p>
    <w:p w14:paraId="0A8D12EE" w14:textId="1159785F" w:rsidR="00530F6D" w:rsidRDefault="00245392" w:rsidP="00E17EB2">
      <w:pPr>
        <w:jc w:val="both"/>
      </w:pPr>
      <w:r>
        <w:t>Externally sponsored studies</w:t>
      </w:r>
      <w:r w:rsidR="001310C8">
        <w:t xml:space="preserve"> </w:t>
      </w:r>
      <w:r w:rsidR="00155EF7">
        <w:t>where</w:t>
      </w:r>
      <w:r w:rsidR="00BD2FB9">
        <w:t xml:space="preserve"> CUH is a host research site will require review by the ERIN PIP and ERIN DAC </w:t>
      </w:r>
      <w:r w:rsidR="001310C8">
        <w:t xml:space="preserve">as well as </w:t>
      </w:r>
      <w:r w:rsidR="00BD2FB9">
        <w:t xml:space="preserve">appropriate regulatory approvals for the </w:t>
      </w:r>
      <w:r w:rsidR="00151D03">
        <w:t>sponsor’</w:t>
      </w:r>
      <w:r w:rsidR="00BD2FB9">
        <w:t xml:space="preserve">s jurisdiction. In the UK, this includes HRA approval. </w:t>
      </w:r>
    </w:p>
    <w:p w14:paraId="5068FFAA" w14:textId="698DCB8F" w:rsidR="00734123" w:rsidRDefault="0042656E" w:rsidP="00E17EB2">
      <w:pPr>
        <w:jc w:val="both"/>
      </w:pPr>
      <w:r>
        <w:t>The sponsor must provide CUH with a</w:t>
      </w:r>
      <w:r w:rsidR="009E3446">
        <w:t xml:space="preserve"> </w:t>
      </w:r>
      <w:r w:rsidR="008E2741">
        <w:t xml:space="preserve">LIP </w:t>
      </w:r>
      <w:r>
        <w:t>in order to begin study</w:t>
      </w:r>
      <w:r w:rsidR="00240FE5">
        <w:t xml:space="preserve"> </w:t>
      </w:r>
      <w:r>
        <w:t>set</w:t>
      </w:r>
      <w:r w:rsidR="00240FE5">
        <w:t>-</w:t>
      </w:r>
      <w:r>
        <w:t>up</w:t>
      </w:r>
      <w:r w:rsidR="006D118A">
        <w:t xml:space="preserve">. The local PI </w:t>
      </w:r>
      <w:r w:rsidR="00240FE5">
        <w:t xml:space="preserve">will need to confirm interest and </w:t>
      </w:r>
      <w:r w:rsidR="00457529">
        <w:t xml:space="preserve">conduct internal discussions with the </w:t>
      </w:r>
      <w:r w:rsidR="00C84E52">
        <w:t>governance team on any study-specific queries and concerns.</w:t>
      </w:r>
    </w:p>
    <w:p w14:paraId="1998B60F" w14:textId="6018CB67" w:rsidR="00155EF7" w:rsidRDefault="00245392" w:rsidP="00E17EB2">
      <w:pPr>
        <w:jc w:val="both"/>
      </w:pPr>
      <w:r>
        <w:t>The data team will review i</w:t>
      </w:r>
      <w:r w:rsidR="00B84183">
        <w:t>nternation</w:t>
      </w:r>
      <w:r w:rsidR="00981D36">
        <w:t>al</w:t>
      </w:r>
      <w:r w:rsidR="00B84183">
        <w:t xml:space="preserve"> studies on a case-by-case basis and </w:t>
      </w:r>
      <w:r>
        <w:t xml:space="preserve">may consider </w:t>
      </w:r>
      <w:r w:rsidR="00B84183">
        <w:t xml:space="preserve">equivalent regulatory approvals </w:t>
      </w:r>
      <w:r>
        <w:t xml:space="preserve">in </w:t>
      </w:r>
      <w:r w:rsidR="00B84183">
        <w:t>the origin country, without the need for an IRAS application.</w:t>
      </w:r>
    </w:p>
    <w:p w14:paraId="199D1C4E" w14:textId="77777777" w:rsidR="00EC5551" w:rsidRPr="00155EF7" w:rsidRDefault="00EC5551" w:rsidP="00E17EB2">
      <w:pPr>
        <w:jc w:val="both"/>
      </w:pPr>
    </w:p>
    <w:p w14:paraId="4FEEB600" w14:textId="01394759" w:rsidR="00EF0213" w:rsidRPr="00EC5551" w:rsidRDefault="00D71379" w:rsidP="00E17EB2">
      <w:pPr>
        <w:pStyle w:val="Heading2"/>
        <w:jc w:val="both"/>
        <w:rPr>
          <w:rFonts w:asciiTheme="minorHAnsi" w:hAnsiTheme="minorHAnsi" w:cstheme="minorHAnsi"/>
          <w:b/>
          <w:bCs/>
          <w:color w:val="auto"/>
          <w:sz w:val="24"/>
          <w:szCs w:val="24"/>
          <w:u w:val="single"/>
        </w:rPr>
      </w:pPr>
      <w:bookmarkStart w:id="12" w:name="_Toc204260174"/>
      <w:r w:rsidRPr="00455374">
        <w:rPr>
          <w:rFonts w:asciiTheme="minorHAnsi" w:hAnsiTheme="minorHAnsi" w:cstheme="minorHAnsi"/>
          <w:b/>
          <w:bCs/>
          <w:color w:val="auto"/>
          <w:sz w:val="24"/>
          <w:szCs w:val="24"/>
          <w:u w:val="single"/>
        </w:rPr>
        <w:t>2.</w:t>
      </w:r>
      <w:r w:rsidR="00EC5551" w:rsidRPr="00455374">
        <w:rPr>
          <w:rFonts w:asciiTheme="minorHAnsi" w:hAnsiTheme="minorHAnsi" w:cstheme="minorHAnsi"/>
          <w:b/>
          <w:bCs/>
          <w:color w:val="auto"/>
          <w:sz w:val="24"/>
          <w:szCs w:val="24"/>
          <w:u w:val="single"/>
        </w:rPr>
        <w:t>5</w:t>
      </w:r>
      <w:r w:rsidRPr="00455374">
        <w:rPr>
          <w:rFonts w:asciiTheme="minorHAnsi" w:hAnsiTheme="minorHAnsi" w:cstheme="minorHAnsi"/>
          <w:b/>
          <w:bCs/>
          <w:color w:val="auto"/>
          <w:sz w:val="24"/>
          <w:szCs w:val="24"/>
          <w:u w:val="single"/>
        </w:rPr>
        <w:t xml:space="preserve"> </w:t>
      </w:r>
      <w:r w:rsidR="00EF0213" w:rsidRPr="00455374">
        <w:rPr>
          <w:rFonts w:asciiTheme="minorHAnsi" w:hAnsiTheme="minorHAnsi" w:cstheme="minorHAnsi"/>
          <w:b/>
          <w:bCs/>
          <w:color w:val="auto"/>
          <w:sz w:val="24"/>
          <w:szCs w:val="24"/>
          <w:u w:val="single"/>
        </w:rPr>
        <w:t>Protocol</w:t>
      </w:r>
      <w:bookmarkEnd w:id="12"/>
    </w:p>
    <w:p w14:paraId="27DB6819" w14:textId="77777777" w:rsidR="00985558" w:rsidRPr="00985558" w:rsidRDefault="00985558" w:rsidP="00E17EB2">
      <w:pPr>
        <w:jc w:val="both"/>
      </w:pPr>
    </w:p>
    <w:p w14:paraId="13C90867" w14:textId="6E42966D" w:rsidR="00EF0213" w:rsidRDefault="00FE2A99" w:rsidP="00E17EB2">
      <w:pPr>
        <w:jc w:val="both"/>
      </w:pPr>
      <w:r>
        <w:t xml:space="preserve">For Cambridge-only studies, a protocol is not </w:t>
      </w:r>
      <w:r w:rsidR="009852A3">
        <w:t>required,</w:t>
      </w:r>
      <w:r>
        <w:t xml:space="preserve"> and the ERIN application form is sufficient. </w:t>
      </w:r>
      <w:r w:rsidR="007E1245">
        <w:t>You</w:t>
      </w:r>
      <w:r>
        <w:t xml:space="preserve"> may choose to complete a </w:t>
      </w:r>
      <w:r w:rsidR="009852A3">
        <w:t>protocol,</w:t>
      </w:r>
      <w:r>
        <w:t xml:space="preserve"> and </w:t>
      </w:r>
      <w:r w:rsidR="00245392">
        <w:t>the data team can provide a</w:t>
      </w:r>
      <w:r>
        <w:t xml:space="preserve"> de-identified protocol template.</w:t>
      </w:r>
    </w:p>
    <w:p w14:paraId="029279EE" w14:textId="36F15881" w:rsidR="002D71A3" w:rsidRDefault="00FE2A99" w:rsidP="00E17EB2">
      <w:pPr>
        <w:jc w:val="both"/>
      </w:pPr>
      <w:r>
        <w:t>For</w:t>
      </w:r>
      <w:r w:rsidR="0095588C">
        <w:t xml:space="preserve"> studies outside of Cambridge, a protocol is required for IRAS submission. </w:t>
      </w:r>
      <w:r w:rsidR="00F053E4">
        <w:t>The</w:t>
      </w:r>
      <w:r w:rsidR="000014CE">
        <w:t xml:space="preserve"> data team can provide the</w:t>
      </w:r>
      <w:r w:rsidR="00F053E4">
        <w:t xml:space="preserve"> aforementioned template </w:t>
      </w:r>
      <w:r w:rsidR="00F968C1">
        <w:t xml:space="preserve">on request, which is based on the HRA qualitative protocol. Further guidance on protocols </w:t>
      </w:r>
      <w:r w:rsidR="000014CE">
        <w:t>is available</w:t>
      </w:r>
      <w:r w:rsidR="00F968C1">
        <w:t xml:space="preserve"> on the HRA website </w:t>
      </w:r>
      <w:hyperlink r:id="rId33" w:history="1">
        <w:r w:rsidR="00F968C1" w:rsidRPr="00F968C1">
          <w:rPr>
            <w:rStyle w:val="Hyperlink"/>
          </w:rPr>
          <w:t>here</w:t>
        </w:r>
      </w:hyperlink>
      <w:r w:rsidR="00F968C1">
        <w:t>.</w:t>
      </w:r>
    </w:p>
    <w:p w14:paraId="419C9651" w14:textId="77777777" w:rsidR="00EC5551" w:rsidRDefault="00EC5551" w:rsidP="00E17EB2">
      <w:pPr>
        <w:jc w:val="both"/>
      </w:pPr>
    </w:p>
    <w:p w14:paraId="09C173C4" w14:textId="77777777" w:rsidR="00EC5551" w:rsidRDefault="00EC5551" w:rsidP="00E17EB2">
      <w:pPr>
        <w:jc w:val="both"/>
      </w:pPr>
    </w:p>
    <w:p w14:paraId="56B8E3A9" w14:textId="53DC55B5" w:rsidR="00B42B2C" w:rsidRDefault="00EC5551" w:rsidP="00E17EB2">
      <w:pPr>
        <w:pStyle w:val="Heading2"/>
        <w:jc w:val="both"/>
        <w:rPr>
          <w:rFonts w:asciiTheme="minorHAnsi" w:hAnsiTheme="minorHAnsi" w:cstheme="minorHAnsi"/>
          <w:b/>
          <w:bCs/>
          <w:color w:val="000000" w:themeColor="text1"/>
          <w:sz w:val="24"/>
          <w:szCs w:val="24"/>
          <w:u w:val="single"/>
        </w:rPr>
      </w:pPr>
      <w:bookmarkStart w:id="13" w:name="_Toc204260175"/>
      <w:r>
        <w:rPr>
          <w:rFonts w:asciiTheme="minorHAnsi" w:hAnsiTheme="minorHAnsi" w:cstheme="minorHAnsi"/>
          <w:b/>
          <w:bCs/>
          <w:color w:val="000000" w:themeColor="text1"/>
          <w:sz w:val="24"/>
          <w:szCs w:val="24"/>
          <w:u w:val="single"/>
        </w:rPr>
        <w:lastRenderedPageBreak/>
        <w:t xml:space="preserve">2.6 </w:t>
      </w:r>
      <w:r w:rsidR="001B5974" w:rsidRPr="00455374">
        <w:rPr>
          <w:rFonts w:asciiTheme="minorHAnsi" w:hAnsiTheme="minorHAnsi" w:cstheme="minorHAnsi"/>
          <w:b/>
          <w:bCs/>
          <w:color w:val="000000" w:themeColor="text1"/>
          <w:sz w:val="24"/>
          <w:szCs w:val="24"/>
          <w:u w:val="single"/>
        </w:rPr>
        <w:t>Patient and public involvement, and peer review</w:t>
      </w:r>
      <w:bookmarkEnd w:id="13"/>
    </w:p>
    <w:p w14:paraId="5A988D7E" w14:textId="77777777" w:rsidR="00EC5551" w:rsidRPr="00EC5551" w:rsidRDefault="00EC5551" w:rsidP="00E17EB2">
      <w:pPr>
        <w:jc w:val="both"/>
      </w:pPr>
    </w:p>
    <w:p w14:paraId="76288FB3" w14:textId="29D02F3D" w:rsidR="00762E5C" w:rsidRDefault="001B7C62" w:rsidP="00E17EB2">
      <w:pPr>
        <w:jc w:val="both"/>
      </w:pPr>
      <w:r>
        <w:t xml:space="preserve">As part of ERIN review, the study will go through </w:t>
      </w:r>
      <w:r w:rsidR="00B42B2C">
        <w:t xml:space="preserve">review by the PIP. However, this is a small patient panel and is not specific to </w:t>
      </w:r>
      <w:r w:rsidR="008E2741">
        <w:t>the study</w:t>
      </w:r>
      <w:r w:rsidR="00B42B2C">
        <w:t xml:space="preserve"> patient cohort. </w:t>
      </w:r>
      <w:r w:rsidR="00A64F20">
        <w:t xml:space="preserve">Despite the retrospective nature, </w:t>
      </w:r>
      <w:r w:rsidR="000014CE">
        <w:t xml:space="preserve">researchers should still give the </w:t>
      </w:r>
      <w:r w:rsidR="00A64F20">
        <w:t xml:space="preserve">patient voice </w:t>
      </w:r>
      <w:r w:rsidR="00762E5C">
        <w:t xml:space="preserve">due consideration and opportunity. </w:t>
      </w:r>
      <w:r w:rsidR="00B42B2C">
        <w:t>It is encouraged that</w:t>
      </w:r>
      <w:r w:rsidR="000014CE">
        <w:t xml:space="preserve"> researchers seek </w:t>
      </w:r>
      <w:r w:rsidR="00E56CEC">
        <w:t>PPI</w:t>
      </w:r>
      <w:r w:rsidR="00B42B2C">
        <w:t xml:space="preserve"> in the </w:t>
      </w:r>
      <w:r w:rsidR="004E2F8A">
        <w:t>research acceptability,</w:t>
      </w:r>
      <w:r w:rsidR="005F68A9">
        <w:t xml:space="preserve"> design,</w:t>
      </w:r>
      <w:r w:rsidR="004E2F8A">
        <w:t xml:space="preserve"> management, undertaking, analysis </w:t>
      </w:r>
      <w:r w:rsidR="0078119A">
        <w:t>and/or dissemination of results.</w:t>
      </w:r>
      <w:r w:rsidR="005F68A9">
        <w:t xml:space="preserve"> </w:t>
      </w:r>
      <w:r w:rsidR="004F3CC6">
        <w:t>The</w:t>
      </w:r>
      <w:r w:rsidR="00762E5C">
        <w:t xml:space="preserve"> application or protocol </w:t>
      </w:r>
      <w:r w:rsidR="004F3CC6">
        <w:t>should be</w:t>
      </w:r>
      <w:r w:rsidR="00762E5C">
        <w:t xml:space="preserve"> written in a lay friendly manner. </w:t>
      </w:r>
      <w:r w:rsidR="004F7D59">
        <w:t xml:space="preserve">Patient and public </w:t>
      </w:r>
      <w:r w:rsidR="005D608B">
        <w:t>benefit</w:t>
      </w:r>
      <w:r w:rsidR="004F3CC6">
        <w:t xml:space="preserve"> </w:t>
      </w:r>
      <w:r w:rsidR="005D608B">
        <w:t xml:space="preserve">is at the forefront of research within the NHS, </w:t>
      </w:r>
      <w:r w:rsidR="0078119A">
        <w:t xml:space="preserve">and </w:t>
      </w:r>
      <w:r w:rsidR="004F3CC6">
        <w:t>therefore transparency of the research to the public is vital.</w:t>
      </w:r>
    </w:p>
    <w:p w14:paraId="68593853" w14:textId="56A857E4" w:rsidR="001B7C62" w:rsidRDefault="005F68A9" w:rsidP="00E17EB2">
      <w:pPr>
        <w:jc w:val="both"/>
      </w:pPr>
      <w:r>
        <w:t>Please see</w:t>
      </w:r>
      <w:r w:rsidR="00CF53AB">
        <w:t xml:space="preserve"> HRA guidance</w:t>
      </w:r>
      <w:r>
        <w:t xml:space="preserve"> </w:t>
      </w:r>
      <w:hyperlink r:id="rId34" w:history="1">
        <w:r w:rsidR="00CF53AB" w:rsidRPr="00CF53AB">
          <w:rPr>
            <w:rStyle w:val="Hyperlink"/>
          </w:rPr>
          <w:t>here</w:t>
        </w:r>
      </w:hyperlink>
      <w:r>
        <w:t xml:space="preserve"> </w:t>
      </w:r>
      <w:r w:rsidR="00CF53AB">
        <w:t>f</w:t>
      </w:r>
      <w:r>
        <w:t>or more info</w:t>
      </w:r>
      <w:r w:rsidR="00CF53AB">
        <w:t>rmation</w:t>
      </w:r>
      <w:r w:rsidR="00762E5C">
        <w:t xml:space="preserve"> on </w:t>
      </w:r>
      <w:r w:rsidR="00CF53AB">
        <w:t>public</w:t>
      </w:r>
      <w:r w:rsidR="00762E5C">
        <w:t xml:space="preserve"> involvement.</w:t>
      </w:r>
    </w:p>
    <w:p w14:paraId="6A6E2C7B" w14:textId="301D562D" w:rsidR="001B5974" w:rsidRDefault="006643E6" w:rsidP="00E17EB2">
      <w:pPr>
        <w:jc w:val="both"/>
      </w:pPr>
      <w:r>
        <w:t>Separate p</w:t>
      </w:r>
      <w:r w:rsidR="00273BCF">
        <w:t xml:space="preserve">eer review is not necessary for </w:t>
      </w:r>
      <w:r w:rsidR="00D95808">
        <w:t>single-site unfunded ERIN studies, and DAC review will form the necessary peer review</w:t>
      </w:r>
      <w:r w:rsidR="00BA4C89">
        <w:t xml:space="preserve">. Funded projects will be peer reviewed within the funder organisation as part of the application. All </w:t>
      </w:r>
      <w:r w:rsidR="007D5A6E">
        <w:t xml:space="preserve">multi-site projects require peer-review, and if not obtained through funding, </w:t>
      </w:r>
      <w:r w:rsidR="007E1245">
        <w:t>you</w:t>
      </w:r>
      <w:r w:rsidR="007D5A6E">
        <w:t xml:space="preserve"> will need to</w:t>
      </w:r>
      <w:r w:rsidR="000014CE">
        <w:t xml:space="preserve"> arrange this </w:t>
      </w:r>
      <w:r w:rsidR="007D5A6E">
        <w:t xml:space="preserve">through other means. For sponsored projects, </w:t>
      </w:r>
      <w:r w:rsidR="001B5974">
        <w:t>if peer review is necessary through CUH, please inform the data team.</w:t>
      </w:r>
      <w:r w:rsidR="002D71A3" w:rsidRPr="002D71A3">
        <w:t xml:space="preserve"> </w:t>
      </w:r>
    </w:p>
    <w:p w14:paraId="3E8AC8A8" w14:textId="77777777" w:rsidR="00EC5551" w:rsidRPr="001B5974" w:rsidRDefault="00EC5551" w:rsidP="00E17EB2">
      <w:pPr>
        <w:jc w:val="both"/>
      </w:pPr>
    </w:p>
    <w:p w14:paraId="693BD2C2" w14:textId="7631E74F" w:rsidR="00E430BE" w:rsidRPr="00455374" w:rsidRDefault="00E430BE" w:rsidP="00E17EB2">
      <w:pPr>
        <w:pStyle w:val="Heading2"/>
        <w:jc w:val="both"/>
        <w:rPr>
          <w:rFonts w:ascii="Calibri" w:hAnsi="Calibri" w:cs="Calibri"/>
          <w:b/>
          <w:color w:val="auto"/>
          <w:sz w:val="24"/>
          <w:szCs w:val="28"/>
          <w:u w:val="single"/>
        </w:rPr>
      </w:pPr>
      <w:bookmarkStart w:id="14" w:name="_Toc204260176"/>
      <w:r w:rsidRPr="00455374">
        <w:rPr>
          <w:rFonts w:ascii="Calibri" w:hAnsi="Calibri" w:cs="Calibri"/>
          <w:b/>
          <w:color w:val="auto"/>
          <w:sz w:val="24"/>
          <w:szCs w:val="28"/>
          <w:u w:val="single"/>
        </w:rPr>
        <w:t>2.7</w:t>
      </w:r>
      <w:r w:rsidR="00EC5551">
        <w:rPr>
          <w:rFonts w:ascii="Calibri" w:hAnsi="Calibri" w:cs="Calibri"/>
          <w:b/>
          <w:color w:val="auto"/>
          <w:sz w:val="24"/>
          <w:szCs w:val="28"/>
          <w:u w:val="single"/>
        </w:rPr>
        <w:t xml:space="preserve"> </w:t>
      </w:r>
      <w:r w:rsidRPr="00455374">
        <w:rPr>
          <w:rFonts w:ascii="Calibri" w:hAnsi="Calibri" w:cs="Calibri"/>
          <w:b/>
          <w:color w:val="auto"/>
          <w:sz w:val="24"/>
          <w:szCs w:val="28"/>
          <w:u w:val="single"/>
        </w:rPr>
        <w:t xml:space="preserve">Agreements, </w:t>
      </w:r>
      <w:r w:rsidR="00273BCF" w:rsidRPr="00455374">
        <w:rPr>
          <w:rFonts w:ascii="Calibri" w:hAnsi="Calibri" w:cs="Calibri"/>
          <w:b/>
          <w:color w:val="auto"/>
          <w:sz w:val="24"/>
          <w:szCs w:val="28"/>
          <w:u w:val="single"/>
        </w:rPr>
        <w:t>employment</w:t>
      </w:r>
      <w:r w:rsidRPr="00455374">
        <w:rPr>
          <w:rFonts w:ascii="Calibri" w:hAnsi="Calibri" w:cs="Calibri"/>
          <w:b/>
          <w:color w:val="auto"/>
          <w:sz w:val="24"/>
          <w:szCs w:val="28"/>
          <w:u w:val="single"/>
        </w:rPr>
        <w:t xml:space="preserve"> and funding</w:t>
      </w:r>
      <w:bookmarkEnd w:id="14"/>
    </w:p>
    <w:p w14:paraId="37114022" w14:textId="77777777" w:rsidR="00E430BE" w:rsidRPr="00270066" w:rsidRDefault="00E430BE" w:rsidP="00E17EB2">
      <w:pPr>
        <w:jc w:val="both"/>
      </w:pPr>
    </w:p>
    <w:p w14:paraId="2BD62228" w14:textId="385E4533" w:rsidR="00E430BE" w:rsidRPr="0095144D" w:rsidRDefault="00E430BE" w:rsidP="00E17EB2">
      <w:pPr>
        <w:jc w:val="both"/>
      </w:pPr>
      <w:r w:rsidRPr="00BD2FB9">
        <w:t>R&amp;D can provide support with funding applications if you require funding for your research (</w:t>
      </w:r>
      <w:r w:rsidR="001D36D7">
        <w:t>e</w:t>
      </w:r>
      <w:r w:rsidRPr="00BD2FB9">
        <w:t>.g. for staff costs or AI development)</w:t>
      </w:r>
      <w:r w:rsidR="000014CE" w:rsidRPr="00BD2FB9">
        <w:t>.</w:t>
      </w:r>
      <w:r w:rsidRPr="00BD2FB9">
        <w:t xml:space="preserve"> Furthermore, </w:t>
      </w:r>
      <w:r w:rsidR="000014CE" w:rsidRPr="00BD2FB9">
        <w:t xml:space="preserve">R&amp;D finance </w:t>
      </w:r>
      <w:r w:rsidR="000014CE">
        <w:t xml:space="preserve">can assist with </w:t>
      </w:r>
      <w:r w:rsidRPr="00BD2FB9">
        <w:t>costings for research grants</w:t>
      </w:r>
      <w:r w:rsidR="000014CE">
        <w:t xml:space="preserve"> </w:t>
      </w:r>
      <w:r w:rsidRPr="00BD2FB9">
        <w:t xml:space="preserve">by contacting </w:t>
      </w:r>
      <w:hyperlink r:id="rId35" w:history="1">
        <w:r w:rsidRPr="002306B3">
          <w:rPr>
            <w:rStyle w:val="Hyperlink"/>
          </w:rPr>
          <w:t>cuh.rdfinance@nhs.net</w:t>
        </w:r>
      </w:hyperlink>
      <w:r w:rsidRPr="00BD2FB9">
        <w:t xml:space="preserve">. It is advisable to contact </w:t>
      </w:r>
      <w:r w:rsidR="007E1245">
        <w:t xml:space="preserve">the data team </w:t>
      </w:r>
      <w:r w:rsidRPr="00BD2FB9">
        <w:t>early on to ensure that the proposed use of CUH data is likely to be possible.</w:t>
      </w:r>
      <w:r w:rsidR="009D1F6C">
        <w:t xml:space="preserve"> </w:t>
      </w:r>
      <w:r w:rsidR="0005688A">
        <w:t xml:space="preserve">You should complete any </w:t>
      </w:r>
      <w:r w:rsidR="009D1F6C">
        <w:t xml:space="preserve">funding applications </w:t>
      </w:r>
      <w:r w:rsidR="00BA3CA5">
        <w:t>before IRAS submission and REC review.</w:t>
      </w:r>
    </w:p>
    <w:p w14:paraId="50E92F26" w14:textId="7BF765C4" w:rsidR="00E430BE" w:rsidRDefault="00E430BE">
      <w:pPr>
        <w:jc w:val="both"/>
      </w:pPr>
      <w:r>
        <w:t>Anyone accessing de-identified data at CUH will require an NHS contract or a letter of access</w:t>
      </w:r>
      <w:r w:rsidR="00EB4E26">
        <w:t>, including students</w:t>
      </w:r>
      <w:r>
        <w:t xml:space="preserve">. </w:t>
      </w:r>
      <w:r w:rsidR="0005688A">
        <w:t>Please note</w:t>
      </w:r>
      <w:r>
        <w:t xml:space="preserve"> that a CUH contract or letter of access does not permit access to identifiable data; access to identifiable data must always be limited to the clinical care team. Applications for a letter of access can be made prior to a study being approved but will not be issued until the study is approved. </w:t>
      </w:r>
      <w:r w:rsidR="0005688A">
        <w:t>For information</w:t>
      </w:r>
      <w:r>
        <w:t xml:space="preserve"> on obtaining a letter of access</w:t>
      </w:r>
      <w:r w:rsidR="0005688A">
        <w:t>, please contact</w:t>
      </w:r>
      <w:r>
        <w:t xml:space="preserve"> </w:t>
      </w:r>
      <w:hyperlink r:id="rId36" w:history="1">
        <w:r w:rsidRPr="00153442">
          <w:rPr>
            <w:rStyle w:val="Hyperlink"/>
          </w:rPr>
          <w:t>cuh.rdhonorary@nhs.net</w:t>
        </w:r>
      </w:hyperlink>
      <w:r>
        <w:t xml:space="preserve">.  </w:t>
      </w:r>
      <w:r w:rsidR="00A963EE">
        <w:t xml:space="preserve">Further guidance on </w:t>
      </w:r>
      <w:r w:rsidR="00A77EBD">
        <w:t xml:space="preserve">Honorary Contract </w:t>
      </w:r>
      <w:r w:rsidR="002F3A79">
        <w:t>Standard Operating Procedures</w:t>
      </w:r>
      <w:r w:rsidR="00A77EBD">
        <w:t xml:space="preserve"> </w:t>
      </w:r>
      <w:r w:rsidR="0005688A">
        <w:t>is available</w:t>
      </w:r>
      <w:r w:rsidR="00A77EBD">
        <w:t xml:space="preserve"> on Merlin.</w:t>
      </w:r>
    </w:p>
    <w:p w14:paraId="3ED0E61A" w14:textId="0D6927DC" w:rsidR="00EC5551" w:rsidRDefault="0005688A">
      <w:pPr>
        <w:jc w:val="both"/>
      </w:pPr>
      <w:r>
        <w:t>If the study requires transfer of data</w:t>
      </w:r>
      <w:r w:rsidR="00F0237E">
        <w:t xml:space="preserve"> outside of CUH</w:t>
      </w:r>
      <w:r w:rsidR="00A77EBD">
        <w:t xml:space="preserve">, </w:t>
      </w:r>
      <w:r w:rsidR="004D00CC">
        <w:t xml:space="preserve">including transfer to UoC, </w:t>
      </w:r>
      <w:r w:rsidR="00E430BE">
        <w:t>a data sharing</w:t>
      </w:r>
      <w:r w:rsidR="00E73C57">
        <w:t xml:space="preserve"> and/or transfer</w:t>
      </w:r>
      <w:r w:rsidR="00E430BE">
        <w:t xml:space="preserve"> agreement</w:t>
      </w:r>
      <w:r w:rsidR="00A77EBD">
        <w:t xml:space="preserve"> is required</w:t>
      </w:r>
      <w:r w:rsidR="00E430BE">
        <w:t xml:space="preserve">. For hosted studies, the sponsor should provide the agreement, and </w:t>
      </w:r>
      <w:r>
        <w:t>R&amp;D legal will review this</w:t>
      </w:r>
      <w:r w:rsidR="00E430BE">
        <w:t xml:space="preserve">. For sponsored studies, </w:t>
      </w:r>
      <w:r w:rsidR="007E1245">
        <w:t>the data team</w:t>
      </w:r>
      <w:r w:rsidR="00E430BE">
        <w:t xml:space="preserve"> will advise on the appropriate agreement. </w:t>
      </w:r>
    </w:p>
    <w:p w14:paraId="62800846" w14:textId="77777777" w:rsidR="00EC5551" w:rsidRDefault="00EC5551">
      <w:pPr>
        <w:jc w:val="both"/>
      </w:pPr>
    </w:p>
    <w:p w14:paraId="209375C9" w14:textId="3628A531" w:rsidR="00155644" w:rsidRPr="00455374" w:rsidRDefault="00EC5551" w:rsidP="00E17EB2">
      <w:pPr>
        <w:pStyle w:val="Heading2"/>
        <w:jc w:val="both"/>
        <w:rPr>
          <w:rFonts w:asciiTheme="minorHAnsi" w:hAnsiTheme="minorHAnsi" w:cstheme="minorHAnsi"/>
          <w:b/>
          <w:bCs/>
          <w:color w:val="000000" w:themeColor="text1"/>
          <w:sz w:val="24"/>
          <w:szCs w:val="24"/>
          <w:u w:val="single"/>
        </w:rPr>
      </w:pPr>
      <w:bookmarkStart w:id="15" w:name="_Toc204260177"/>
      <w:r>
        <w:rPr>
          <w:rFonts w:asciiTheme="minorHAnsi" w:hAnsiTheme="minorHAnsi" w:cstheme="minorHAnsi"/>
          <w:b/>
          <w:bCs/>
          <w:color w:val="000000" w:themeColor="text1"/>
          <w:sz w:val="24"/>
          <w:szCs w:val="24"/>
          <w:u w:val="single"/>
        </w:rPr>
        <w:t xml:space="preserve">2.8 </w:t>
      </w:r>
      <w:r w:rsidR="00155644" w:rsidRPr="00455374">
        <w:rPr>
          <w:rFonts w:asciiTheme="minorHAnsi" w:hAnsiTheme="minorHAnsi" w:cstheme="minorHAnsi"/>
          <w:b/>
          <w:bCs/>
          <w:color w:val="000000" w:themeColor="text1"/>
          <w:sz w:val="24"/>
          <w:szCs w:val="24"/>
          <w:u w:val="single"/>
        </w:rPr>
        <w:t>Regulatory approvals</w:t>
      </w:r>
      <w:r w:rsidR="00206B8B">
        <w:rPr>
          <w:rFonts w:asciiTheme="minorHAnsi" w:hAnsiTheme="minorHAnsi" w:cstheme="minorHAnsi"/>
          <w:b/>
          <w:bCs/>
          <w:color w:val="000000" w:themeColor="text1"/>
          <w:sz w:val="24"/>
          <w:szCs w:val="24"/>
          <w:u w:val="single"/>
        </w:rPr>
        <w:t xml:space="preserve"> for multi</w:t>
      </w:r>
      <w:r w:rsidR="004803D6">
        <w:rPr>
          <w:rFonts w:asciiTheme="minorHAnsi" w:hAnsiTheme="minorHAnsi" w:cstheme="minorHAnsi"/>
          <w:b/>
          <w:bCs/>
          <w:color w:val="000000" w:themeColor="text1"/>
          <w:sz w:val="24"/>
          <w:szCs w:val="24"/>
          <w:u w:val="single"/>
        </w:rPr>
        <w:t>-</w:t>
      </w:r>
      <w:r w:rsidR="00206B8B">
        <w:rPr>
          <w:rFonts w:asciiTheme="minorHAnsi" w:hAnsiTheme="minorHAnsi" w:cstheme="minorHAnsi"/>
          <w:b/>
          <w:bCs/>
          <w:color w:val="000000" w:themeColor="text1"/>
          <w:sz w:val="24"/>
          <w:szCs w:val="24"/>
          <w:u w:val="single"/>
        </w:rPr>
        <w:t>site studies</w:t>
      </w:r>
      <w:bookmarkEnd w:id="15"/>
      <w:r w:rsidR="00206B8B">
        <w:rPr>
          <w:rFonts w:asciiTheme="minorHAnsi" w:hAnsiTheme="minorHAnsi" w:cstheme="minorHAnsi"/>
          <w:b/>
          <w:bCs/>
          <w:color w:val="000000" w:themeColor="text1"/>
          <w:sz w:val="24"/>
          <w:szCs w:val="24"/>
          <w:u w:val="single"/>
        </w:rPr>
        <w:t xml:space="preserve"> </w:t>
      </w:r>
    </w:p>
    <w:p w14:paraId="17B4852A" w14:textId="77777777" w:rsidR="00155644" w:rsidRPr="00530F6D" w:rsidRDefault="00155644" w:rsidP="00E17EB2">
      <w:pPr>
        <w:jc w:val="both"/>
        <w:rPr>
          <w:rFonts w:ascii="Calibri" w:hAnsi="Calibri" w:cs="Calibri"/>
        </w:rPr>
      </w:pPr>
    </w:p>
    <w:p w14:paraId="449133C5" w14:textId="14813676" w:rsidR="00206B8B" w:rsidRDefault="00206B8B" w:rsidP="00E17EB2">
      <w:pPr>
        <w:jc w:val="both"/>
        <w:rPr>
          <w:rFonts w:ascii="Calibri" w:hAnsi="Calibri" w:cs="Calibri"/>
        </w:rPr>
      </w:pPr>
      <w:r>
        <w:rPr>
          <w:rFonts w:ascii="Calibri" w:hAnsi="Calibri" w:cs="Calibri"/>
        </w:rPr>
        <w:t xml:space="preserve">Single site CUH studies are covered by the generic approvals of the ERIN research database and do not require further regulatory approvals. </w:t>
      </w:r>
    </w:p>
    <w:p w14:paraId="7A0D7F6A" w14:textId="5E38D005" w:rsidR="00155644" w:rsidRPr="00530F6D" w:rsidRDefault="00155644" w:rsidP="00E17EB2">
      <w:pPr>
        <w:jc w:val="both"/>
        <w:rPr>
          <w:rFonts w:ascii="Calibri" w:hAnsi="Calibri" w:cs="Calibri"/>
        </w:rPr>
      </w:pPr>
      <w:r w:rsidRPr="00530F6D">
        <w:rPr>
          <w:rFonts w:ascii="Calibri" w:hAnsi="Calibri" w:cs="Calibri"/>
        </w:rPr>
        <w:t>All research involving NHS patients, staff, their tissue or their data requires HRA approval.</w:t>
      </w:r>
      <w:r>
        <w:rPr>
          <w:rFonts w:ascii="Calibri" w:hAnsi="Calibri" w:cs="Calibri"/>
        </w:rPr>
        <w:t xml:space="preserve"> However, research tissue banks, research databases or studies taking place in a non-NHS setting are exempt </w:t>
      </w:r>
      <w:r>
        <w:rPr>
          <w:rFonts w:ascii="Calibri" w:hAnsi="Calibri" w:cs="Calibri"/>
        </w:rPr>
        <w:lastRenderedPageBreak/>
        <w:t>from HRA review.</w:t>
      </w:r>
      <w:r w:rsidRPr="00530F6D">
        <w:rPr>
          <w:rFonts w:ascii="Calibri" w:hAnsi="Calibri" w:cs="Calibri"/>
        </w:rPr>
        <w:t xml:space="preserve"> The HRA will provide a study</w:t>
      </w:r>
      <w:r>
        <w:rPr>
          <w:rFonts w:ascii="Calibri" w:hAnsi="Calibri" w:cs="Calibri"/>
        </w:rPr>
        <w:t>-</w:t>
      </w:r>
      <w:r w:rsidRPr="00530F6D">
        <w:rPr>
          <w:rFonts w:ascii="Calibri" w:hAnsi="Calibri" w:cs="Calibri"/>
        </w:rPr>
        <w:t xml:space="preserve">wide governance review to ensure the study is legally compliant. </w:t>
      </w:r>
    </w:p>
    <w:p w14:paraId="72DDEC02" w14:textId="417E530F" w:rsidR="00155644" w:rsidRPr="00530F6D" w:rsidRDefault="00155644" w:rsidP="00E17EB2">
      <w:pPr>
        <w:jc w:val="both"/>
        <w:rPr>
          <w:rFonts w:ascii="Calibri" w:hAnsi="Calibri" w:cs="Calibri"/>
        </w:rPr>
      </w:pPr>
      <w:r w:rsidRPr="00530F6D">
        <w:rPr>
          <w:rFonts w:ascii="Calibri" w:hAnsi="Calibri" w:cs="Calibri"/>
        </w:rPr>
        <w:t xml:space="preserve">Alongside HRA approval, most research in the NHS also requires NHS </w:t>
      </w:r>
      <w:r w:rsidR="002F3A79">
        <w:rPr>
          <w:rFonts w:ascii="Calibri" w:hAnsi="Calibri" w:cs="Calibri"/>
        </w:rPr>
        <w:t>REC</w:t>
      </w:r>
      <w:r w:rsidRPr="00530F6D">
        <w:rPr>
          <w:rFonts w:ascii="Calibri" w:hAnsi="Calibri" w:cs="Calibri"/>
        </w:rPr>
        <w:t xml:space="preserve"> approval; however, studies using routinely collected, de-identified data are usually exempt from this requirement. On a case-by-case basis where CUH, as sponsor, determine that the study raises material ethical issues, it may request </w:t>
      </w:r>
      <w:r>
        <w:rPr>
          <w:rFonts w:ascii="Calibri" w:hAnsi="Calibri" w:cs="Calibri"/>
        </w:rPr>
        <w:t>REC</w:t>
      </w:r>
      <w:r w:rsidRPr="00530F6D">
        <w:rPr>
          <w:rFonts w:ascii="Calibri" w:hAnsi="Calibri" w:cs="Calibri"/>
        </w:rPr>
        <w:t xml:space="preserve"> review. </w:t>
      </w:r>
    </w:p>
    <w:p w14:paraId="560E2E43" w14:textId="77777777" w:rsidR="00155644" w:rsidRPr="00155644" w:rsidRDefault="00155644" w:rsidP="00E17EB2">
      <w:pPr>
        <w:jc w:val="both"/>
      </w:pPr>
    </w:p>
    <w:p w14:paraId="6881E153" w14:textId="456ABD55" w:rsidR="00C84FB7" w:rsidRDefault="00EC5551" w:rsidP="00E17EB2">
      <w:pPr>
        <w:pStyle w:val="Heading2"/>
        <w:jc w:val="both"/>
        <w:rPr>
          <w:rFonts w:ascii="Calibri" w:hAnsi="Calibri" w:cs="Calibri"/>
          <w:b/>
          <w:color w:val="auto"/>
          <w:sz w:val="22"/>
          <w:szCs w:val="22"/>
          <w:u w:val="single"/>
        </w:rPr>
      </w:pPr>
      <w:bookmarkStart w:id="16" w:name="_Toc204260178"/>
      <w:r w:rsidRPr="00455374">
        <w:rPr>
          <w:rFonts w:ascii="Calibri" w:hAnsi="Calibri" w:cs="Calibri"/>
          <w:b/>
          <w:color w:val="auto"/>
          <w:sz w:val="24"/>
          <w:szCs w:val="24"/>
          <w:u w:val="single"/>
        </w:rPr>
        <w:t xml:space="preserve">2.9 </w:t>
      </w:r>
      <w:r w:rsidR="00C84FB7" w:rsidRPr="00455374">
        <w:rPr>
          <w:rFonts w:ascii="Calibri" w:hAnsi="Calibri" w:cs="Calibri"/>
          <w:b/>
          <w:color w:val="auto"/>
          <w:sz w:val="24"/>
          <w:szCs w:val="24"/>
          <w:u w:val="single"/>
        </w:rPr>
        <w:t xml:space="preserve">AI </w:t>
      </w:r>
      <w:r w:rsidR="00B32263" w:rsidRPr="00455374">
        <w:rPr>
          <w:rFonts w:ascii="Calibri" w:hAnsi="Calibri" w:cs="Calibri"/>
          <w:b/>
          <w:color w:val="auto"/>
          <w:sz w:val="24"/>
          <w:szCs w:val="24"/>
          <w:u w:val="single"/>
        </w:rPr>
        <w:t xml:space="preserve">and software </w:t>
      </w:r>
      <w:r w:rsidR="00C84FB7" w:rsidRPr="00455374">
        <w:rPr>
          <w:rFonts w:ascii="Calibri" w:hAnsi="Calibri" w:cs="Calibri"/>
          <w:b/>
          <w:color w:val="auto"/>
          <w:sz w:val="24"/>
          <w:szCs w:val="24"/>
          <w:u w:val="single"/>
        </w:rPr>
        <w:t>research</w:t>
      </w:r>
      <w:bookmarkEnd w:id="16"/>
    </w:p>
    <w:p w14:paraId="25EF528A" w14:textId="77777777" w:rsidR="00C84FB7" w:rsidRDefault="00C84FB7" w:rsidP="00E17EB2">
      <w:pPr>
        <w:jc w:val="both"/>
      </w:pPr>
    </w:p>
    <w:p w14:paraId="2440E12D" w14:textId="7973ADFF" w:rsidR="006A6FD7" w:rsidRDefault="00CC7F7C" w:rsidP="00E17EB2">
      <w:pPr>
        <w:jc w:val="both"/>
      </w:pPr>
      <w:r>
        <w:t>Researchers wanting to use retrospective datasets to train</w:t>
      </w:r>
      <w:r w:rsidR="004B5F7F">
        <w:t>, design or analyse</w:t>
      </w:r>
      <w:r>
        <w:t xml:space="preserve"> </w:t>
      </w:r>
      <w:r w:rsidR="0005688A">
        <w:t>machine-learning</w:t>
      </w:r>
      <w:r>
        <w:t xml:space="preserve"> models, prediction models or any other type of</w:t>
      </w:r>
      <w:r w:rsidR="002F3A79">
        <w:t xml:space="preserve"> AI</w:t>
      </w:r>
      <w:r>
        <w:t xml:space="preserve"> </w:t>
      </w:r>
      <w:r w:rsidR="004B5F7F">
        <w:t>will go through ERIN</w:t>
      </w:r>
      <w:r w:rsidR="00536807">
        <w:t xml:space="preserve"> review. Proof-of-concept studies </w:t>
      </w:r>
      <w:r w:rsidR="000C684F">
        <w:t xml:space="preserve">using anonymised data and </w:t>
      </w:r>
      <w:r w:rsidR="00536807">
        <w:t xml:space="preserve">staying within CUH </w:t>
      </w:r>
      <w:r w:rsidR="00E83586">
        <w:t xml:space="preserve">and UoC will fall under ERIN ethics. </w:t>
      </w:r>
      <w:r w:rsidR="00E83586" w:rsidRPr="007028D5">
        <w:rPr>
          <w:highlight w:val="yellow"/>
        </w:rPr>
        <w:t>If any other sites or commercial companies are involved, the study will need to go through IRAS.</w:t>
      </w:r>
      <w:r w:rsidR="00E83586">
        <w:t xml:space="preserve"> </w:t>
      </w:r>
      <w:r w:rsidR="0005688A">
        <w:t>You may need to</w:t>
      </w:r>
      <w:r w:rsidR="00E83586">
        <w:t xml:space="preserve"> registe</w:t>
      </w:r>
      <w:r w:rsidR="0005688A">
        <w:t>r the study</w:t>
      </w:r>
      <w:r w:rsidR="00E83586">
        <w:t xml:space="preserve"> as a medical device, early phase study, and </w:t>
      </w:r>
      <w:r w:rsidR="00206B8B">
        <w:t>may</w:t>
      </w:r>
      <w:r w:rsidR="00E83586">
        <w:t xml:space="preserve"> need </w:t>
      </w:r>
      <w:r w:rsidR="00BA4835" w:rsidRPr="00BA4835">
        <w:t>Medicines and Healthcare products Regulatory Agency</w:t>
      </w:r>
      <w:r w:rsidR="00BA4835">
        <w:t xml:space="preserve"> (</w:t>
      </w:r>
      <w:r w:rsidR="00E83586">
        <w:t>MHRA</w:t>
      </w:r>
      <w:r w:rsidR="00BA4835">
        <w:t>)</w:t>
      </w:r>
      <w:r w:rsidR="00E83586">
        <w:t xml:space="preserve"> review.</w:t>
      </w:r>
      <w:r w:rsidR="00D32BDD">
        <w:t xml:space="preserve"> </w:t>
      </w:r>
    </w:p>
    <w:p w14:paraId="21FD3B66" w14:textId="086FE53D" w:rsidR="00B32263" w:rsidRDefault="00D32BDD" w:rsidP="00E17EB2">
      <w:pPr>
        <w:jc w:val="both"/>
      </w:pPr>
      <w:r>
        <w:t xml:space="preserve">If you intend to use </w:t>
      </w:r>
      <w:r w:rsidR="00A040C8">
        <w:t xml:space="preserve">any type of AI or software that may be considered a medical device in research, please contact the data team as early as possible so the appropriate </w:t>
      </w:r>
      <w:r w:rsidR="00B32263">
        <w:t>set-up can be done.</w:t>
      </w:r>
    </w:p>
    <w:p w14:paraId="57D14D95" w14:textId="47BA0B42" w:rsidR="00B63829" w:rsidRDefault="00B32263" w:rsidP="00E17EB2">
      <w:pPr>
        <w:jc w:val="both"/>
      </w:pPr>
      <w:r>
        <w:t xml:space="preserve">Detailed guidance and information on each stage of AI and medical device </w:t>
      </w:r>
      <w:r w:rsidR="00BE32F2">
        <w:t xml:space="preserve">software research </w:t>
      </w:r>
      <w:r w:rsidR="0005688A">
        <w:t>is available</w:t>
      </w:r>
      <w:r w:rsidR="00BE32F2">
        <w:t xml:space="preserve"> </w:t>
      </w:r>
      <w:r w:rsidR="00C128FF">
        <w:t xml:space="preserve">on the NHS AI and Digital Regulations Service page </w:t>
      </w:r>
      <w:hyperlink r:id="rId37" w:history="1">
        <w:r w:rsidR="00C128FF" w:rsidRPr="00C128FF">
          <w:rPr>
            <w:rStyle w:val="Hyperlink"/>
          </w:rPr>
          <w:t>here</w:t>
        </w:r>
      </w:hyperlink>
      <w:r w:rsidR="00C128FF">
        <w:t xml:space="preserve"> – split into developers and adopters guidance. </w:t>
      </w:r>
    </w:p>
    <w:p w14:paraId="4277B208" w14:textId="474EC25C" w:rsidR="00B63829" w:rsidRDefault="00B63829" w:rsidP="00E17EB2">
      <w:pPr>
        <w:jc w:val="both"/>
      </w:pPr>
      <w:r>
        <w:t xml:space="preserve">An interactive tool </w:t>
      </w:r>
      <w:r w:rsidR="00000CB8">
        <w:t>developed by the MHRA to</w:t>
      </w:r>
      <w:r w:rsidR="003D2FEF">
        <w:t xml:space="preserve"> help</w:t>
      </w:r>
      <w:r w:rsidR="007A1741">
        <w:t xml:space="preserve"> </w:t>
      </w:r>
      <w:r>
        <w:t>determine whether your software is a medical device</w:t>
      </w:r>
      <w:r w:rsidR="00000CB8">
        <w:t xml:space="preserve"> </w:t>
      </w:r>
      <w:r w:rsidR="0005688A">
        <w:t>is available</w:t>
      </w:r>
      <w:r w:rsidR="00000CB8">
        <w:t xml:space="preserve"> </w:t>
      </w:r>
      <w:hyperlink r:id="rId38" w:history="1">
        <w:r w:rsidR="00000CB8" w:rsidRPr="00000CB8">
          <w:rPr>
            <w:rStyle w:val="Hyperlink"/>
          </w:rPr>
          <w:t>here</w:t>
        </w:r>
      </w:hyperlink>
      <w:r w:rsidR="00000CB8">
        <w:t>.</w:t>
      </w:r>
    </w:p>
    <w:p w14:paraId="22E18BA5" w14:textId="77777777" w:rsidR="006A6FD7" w:rsidRPr="00C84FB7" w:rsidRDefault="006A6FD7" w:rsidP="00E17EB2">
      <w:pPr>
        <w:jc w:val="both"/>
      </w:pPr>
    </w:p>
    <w:p w14:paraId="4A24BD77" w14:textId="75865ACA" w:rsidR="00EC5551" w:rsidRDefault="00EC5551" w:rsidP="00E17EB2">
      <w:pPr>
        <w:pStyle w:val="Heading1"/>
        <w:jc w:val="both"/>
        <w:rPr>
          <w:rFonts w:ascii="Calibri" w:hAnsi="Calibri" w:cs="Calibri"/>
          <w:b/>
          <w:color w:val="auto"/>
          <w:sz w:val="28"/>
          <w:szCs w:val="28"/>
        </w:rPr>
      </w:pPr>
      <w:bookmarkStart w:id="17" w:name="_Toc204260179"/>
      <w:r w:rsidRPr="00455374">
        <w:rPr>
          <w:rFonts w:ascii="Calibri" w:hAnsi="Calibri" w:cs="Calibri"/>
          <w:b/>
          <w:color w:val="auto"/>
          <w:sz w:val="28"/>
          <w:szCs w:val="28"/>
        </w:rPr>
        <w:t>3</w:t>
      </w:r>
      <w:r>
        <w:rPr>
          <w:rFonts w:ascii="Calibri" w:hAnsi="Calibri" w:cs="Calibri"/>
          <w:b/>
          <w:color w:val="auto"/>
          <w:sz w:val="28"/>
          <w:szCs w:val="28"/>
        </w:rPr>
        <w:t>.</w:t>
      </w:r>
      <w:r w:rsidRPr="00455374">
        <w:rPr>
          <w:rFonts w:ascii="Calibri" w:hAnsi="Calibri" w:cs="Calibri"/>
          <w:b/>
          <w:color w:val="auto"/>
          <w:sz w:val="28"/>
          <w:szCs w:val="28"/>
        </w:rPr>
        <w:t xml:space="preserve"> </w:t>
      </w:r>
      <w:r w:rsidR="00E430BE" w:rsidRPr="00455374">
        <w:rPr>
          <w:rFonts w:ascii="Calibri" w:hAnsi="Calibri" w:cs="Calibri"/>
          <w:b/>
          <w:color w:val="auto"/>
          <w:sz w:val="28"/>
          <w:szCs w:val="28"/>
        </w:rPr>
        <w:t>Data handling, storage and processing</w:t>
      </w:r>
      <w:bookmarkEnd w:id="17"/>
    </w:p>
    <w:p w14:paraId="3E55F0D8" w14:textId="77777777" w:rsidR="0003478A" w:rsidRPr="00E17EB2" w:rsidRDefault="0003478A" w:rsidP="00E17EB2"/>
    <w:p w14:paraId="78A628E4" w14:textId="57123BC0" w:rsidR="00B50594" w:rsidRPr="00455374" w:rsidRDefault="00EC5551" w:rsidP="00E17EB2">
      <w:pPr>
        <w:pStyle w:val="Heading2"/>
        <w:jc w:val="both"/>
        <w:rPr>
          <w:rFonts w:ascii="Calibri" w:hAnsi="Calibri" w:cs="Calibri"/>
          <w:b/>
          <w:sz w:val="24"/>
          <w:szCs w:val="24"/>
          <w:u w:val="single"/>
        </w:rPr>
      </w:pPr>
      <w:bookmarkStart w:id="18" w:name="_Toc204260180"/>
      <w:r>
        <w:rPr>
          <w:rFonts w:ascii="Calibri" w:hAnsi="Calibri" w:cs="Calibri"/>
          <w:b/>
          <w:color w:val="auto"/>
          <w:sz w:val="24"/>
          <w:szCs w:val="24"/>
          <w:u w:val="single"/>
        </w:rPr>
        <w:t>3.1</w:t>
      </w:r>
      <w:r w:rsidR="00035B6A" w:rsidRPr="00455374">
        <w:rPr>
          <w:rFonts w:ascii="Calibri" w:hAnsi="Calibri" w:cs="Calibri"/>
          <w:b/>
          <w:color w:val="auto"/>
          <w:sz w:val="24"/>
          <w:szCs w:val="24"/>
          <w:u w:val="single"/>
        </w:rPr>
        <w:t xml:space="preserve"> </w:t>
      </w:r>
      <w:r w:rsidR="00E14EC4" w:rsidRPr="00455374">
        <w:rPr>
          <w:rFonts w:ascii="Calibri" w:hAnsi="Calibri" w:cs="Calibri"/>
          <w:b/>
          <w:color w:val="auto"/>
          <w:sz w:val="24"/>
          <w:szCs w:val="24"/>
          <w:u w:val="single"/>
        </w:rPr>
        <w:t>Data extraction</w:t>
      </w:r>
      <w:bookmarkEnd w:id="18"/>
    </w:p>
    <w:p w14:paraId="2E621FE6" w14:textId="553A7E82" w:rsidR="004E201E" w:rsidRDefault="004E201E" w:rsidP="00E17EB2">
      <w:pPr>
        <w:jc w:val="both"/>
      </w:pPr>
    </w:p>
    <w:p w14:paraId="4014372A" w14:textId="6F343818" w:rsidR="00072D4C" w:rsidRPr="00072D4C" w:rsidRDefault="00072D4C">
      <w:pPr>
        <w:jc w:val="both"/>
        <w:rPr>
          <w:rFonts w:ascii="Calibri" w:hAnsi="Calibri" w:cs="Calibri"/>
        </w:rPr>
      </w:pPr>
      <w:r>
        <w:rPr>
          <w:rFonts w:ascii="Calibri" w:hAnsi="Calibri" w:cs="Calibri"/>
        </w:rPr>
        <w:t xml:space="preserve">Where </w:t>
      </w:r>
      <w:r w:rsidRPr="003E457A">
        <w:rPr>
          <w:rFonts w:ascii="Calibri" w:hAnsi="Calibri" w:cs="Calibri"/>
        </w:rPr>
        <w:t>an automated data extract is required, it is possible to have an initial</w:t>
      </w:r>
      <w:r w:rsidR="009F7928" w:rsidRPr="003E457A">
        <w:rPr>
          <w:rFonts w:ascii="Calibri" w:hAnsi="Calibri" w:cs="Calibri"/>
        </w:rPr>
        <w:t xml:space="preserve"> feasibility</w:t>
      </w:r>
      <w:r w:rsidRPr="003E457A">
        <w:rPr>
          <w:rFonts w:ascii="Calibri" w:hAnsi="Calibri" w:cs="Calibri"/>
        </w:rPr>
        <w:t xml:space="preserve"> discussion with Clinical Informatics simultaneously with obtaining research governance approvals.</w:t>
      </w:r>
      <w:r>
        <w:rPr>
          <w:rFonts w:ascii="Calibri" w:hAnsi="Calibri" w:cs="Calibri"/>
        </w:rPr>
        <w:t xml:space="preserve"> Clinical Informatics will not extract data until the study has received </w:t>
      </w:r>
      <w:r w:rsidR="00FB69D9">
        <w:rPr>
          <w:rFonts w:ascii="Calibri" w:hAnsi="Calibri" w:cs="Calibri"/>
        </w:rPr>
        <w:t>study approval</w:t>
      </w:r>
      <w:r w:rsidR="00393E41">
        <w:rPr>
          <w:rFonts w:ascii="Calibri" w:hAnsi="Calibri" w:cs="Calibri"/>
        </w:rPr>
        <w:t xml:space="preserve"> </w:t>
      </w:r>
      <w:r>
        <w:rPr>
          <w:rFonts w:ascii="Calibri" w:hAnsi="Calibri" w:cs="Calibri"/>
        </w:rPr>
        <w:t xml:space="preserve">and will only extract the dataset approved by the data team and listed in the approved study </w:t>
      </w:r>
      <w:r w:rsidR="00244E0C">
        <w:rPr>
          <w:rFonts w:ascii="Calibri" w:hAnsi="Calibri" w:cs="Calibri"/>
        </w:rPr>
        <w:t>documentation. Any</w:t>
      </w:r>
      <w:r>
        <w:rPr>
          <w:rFonts w:ascii="Calibri" w:hAnsi="Calibri" w:cs="Calibri"/>
        </w:rPr>
        <w:t xml:space="preserve"> requests for further data will need approval from the data team. </w:t>
      </w:r>
    </w:p>
    <w:p w14:paraId="6AF5EFDE" w14:textId="0582FBFA" w:rsidR="004E201E" w:rsidRDefault="004E201E">
      <w:pPr>
        <w:pStyle w:val="ListParagraph"/>
        <w:numPr>
          <w:ilvl w:val="0"/>
          <w:numId w:val="15"/>
        </w:numPr>
        <w:jc w:val="both"/>
      </w:pPr>
      <w:r w:rsidRPr="00455374">
        <w:rPr>
          <w:u w:val="single"/>
        </w:rPr>
        <w:t>Cohort definition</w:t>
      </w:r>
      <w:r w:rsidR="00244E0C">
        <w:t xml:space="preserve">: the Clinical Informatics team will require further precision on cohort definition than may be required by the data team in the </w:t>
      </w:r>
      <w:r w:rsidR="00206B8B">
        <w:t>application form</w:t>
      </w:r>
      <w:r w:rsidR="00244E0C">
        <w:t xml:space="preserve">. Cohort definition may take some time to work through with the Clinical Informatics team. For example, </w:t>
      </w:r>
      <w:r w:rsidR="00E40664">
        <w:t>for a cohort of patients with</w:t>
      </w:r>
      <w:r w:rsidR="00244E0C">
        <w:t xml:space="preserve"> a specific diagnosis or condition, Clinical Informatics will need to know whether this is recorded in the E</w:t>
      </w:r>
      <w:r w:rsidR="00BD2FB9">
        <w:t>H</w:t>
      </w:r>
      <w:r w:rsidR="00244E0C">
        <w:t>R as a diagnosis, test result or other measurement. Similarly, whether patients</w:t>
      </w:r>
      <w:r w:rsidR="00E40664">
        <w:t xml:space="preserve"> being</w:t>
      </w:r>
      <w:r w:rsidR="00244E0C">
        <w:t xml:space="preserve"> </w:t>
      </w:r>
      <w:r w:rsidR="00244E0C">
        <w:rPr>
          <w:rFonts w:cstheme="minorHAnsi"/>
        </w:rPr>
        <w:t>≥</w:t>
      </w:r>
      <w:r w:rsidR="00244E0C">
        <w:t xml:space="preserve">18 indicates current age or age at diagnosis, admission or treatment. </w:t>
      </w:r>
    </w:p>
    <w:p w14:paraId="1F316800" w14:textId="3AA24B0F" w:rsidR="004E201E" w:rsidRDefault="00244E0C">
      <w:pPr>
        <w:pStyle w:val="ListParagraph"/>
        <w:numPr>
          <w:ilvl w:val="0"/>
          <w:numId w:val="15"/>
        </w:numPr>
        <w:jc w:val="both"/>
      </w:pPr>
      <w:r w:rsidRPr="00455374">
        <w:rPr>
          <w:u w:val="single"/>
        </w:rPr>
        <w:t>Location of the data in the E</w:t>
      </w:r>
      <w:r w:rsidR="001645AD" w:rsidRPr="00455374">
        <w:rPr>
          <w:u w:val="single"/>
        </w:rPr>
        <w:t>H</w:t>
      </w:r>
      <w:r w:rsidRPr="00455374">
        <w:rPr>
          <w:u w:val="single"/>
        </w:rPr>
        <w:t>R</w:t>
      </w:r>
      <w:r>
        <w:t>: r</w:t>
      </w:r>
      <w:r w:rsidRPr="00244E0C">
        <w:t xml:space="preserve">esearchers will need to work with the clinical team and Clinical Informatics to define the variables </w:t>
      </w:r>
      <w:r>
        <w:t>for extraction, including where the data are</w:t>
      </w:r>
      <w:r w:rsidR="0053258A">
        <w:t xml:space="preserve"> </w:t>
      </w:r>
      <w:r w:rsidR="0053258A">
        <w:lastRenderedPageBreak/>
        <w:t xml:space="preserve">recorded </w:t>
      </w:r>
      <w:r w:rsidR="00206B8B">
        <w:t>i</w:t>
      </w:r>
      <w:r w:rsidR="0053258A">
        <w:t xml:space="preserve">n Epic, </w:t>
      </w:r>
      <w:r w:rsidRPr="00244E0C">
        <w:t>the exact names of a test res</w:t>
      </w:r>
      <w:r w:rsidR="0053258A">
        <w:t xml:space="preserve">ult, measurement or procedure and whether there is a specific </w:t>
      </w:r>
      <w:r w:rsidRPr="00244E0C">
        <w:t xml:space="preserve">code (such as an </w:t>
      </w:r>
      <w:r w:rsidR="009E651B" w:rsidRPr="009E651B">
        <w:t>International Classification of Diseases</w:t>
      </w:r>
      <w:r w:rsidR="009E651B">
        <w:t xml:space="preserve"> (</w:t>
      </w:r>
      <w:r w:rsidRPr="00244E0C">
        <w:t>ICD</w:t>
      </w:r>
      <w:r w:rsidR="009E651B">
        <w:t>)</w:t>
      </w:r>
      <w:r w:rsidRPr="00244E0C">
        <w:t xml:space="preserve"> code for diagnos</w:t>
      </w:r>
      <w:r w:rsidR="0053258A">
        <w:t>is) to help identify a variable.</w:t>
      </w:r>
      <w:r w:rsidRPr="00244E0C">
        <w:t xml:space="preserve"> Sometimes it is useful to provide screen-prints from the </w:t>
      </w:r>
      <w:r w:rsidR="00E56CEC">
        <w:t>EHR</w:t>
      </w:r>
      <w:r w:rsidRPr="00244E0C">
        <w:t xml:space="preserve"> (without identifiers)</w:t>
      </w:r>
      <w:r w:rsidR="0053258A">
        <w:t>.</w:t>
      </w:r>
    </w:p>
    <w:p w14:paraId="06BC5BAC" w14:textId="0797E257" w:rsidR="0053258A" w:rsidRPr="00455374" w:rsidRDefault="0053258A">
      <w:pPr>
        <w:pStyle w:val="ListParagraph"/>
        <w:numPr>
          <w:ilvl w:val="0"/>
          <w:numId w:val="15"/>
        </w:numPr>
        <w:jc w:val="both"/>
        <w:rPr>
          <w:u w:val="single"/>
        </w:rPr>
      </w:pPr>
      <w:r w:rsidRPr="00455374">
        <w:rPr>
          <w:u w:val="single"/>
        </w:rPr>
        <w:t>Data validation</w:t>
      </w:r>
    </w:p>
    <w:p w14:paraId="4672E292" w14:textId="1B875D6A" w:rsidR="006F1A06" w:rsidRDefault="004E201E" w:rsidP="00E17EB2">
      <w:pPr>
        <w:pStyle w:val="ListParagraph"/>
        <w:numPr>
          <w:ilvl w:val="0"/>
          <w:numId w:val="15"/>
        </w:numPr>
        <w:jc w:val="both"/>
      </w:pPr>
      <w:r w:rsidRPr="00455374">
        <w:rPr>
          <w:u w:val="single"/>
        </w:rPr>
        <w:t xml:space="preserve">What will </w:t>
      </w:r>
      <w:r w:rsidR="00CE1286" w:rsidRPr="00455374">
        <w:rPr>
          <w:u w:val="single"/>
        </w:rPr>
        <w:t xml:space="preserve">the </w:t>
      </w:r>
      <w:r w:rsidRPr="00455374">
        <w:rPr>
          <w:u w:val="single"/>
        </w:rPr>
        <w:t>data look like</w:t>
      </w:r>
      <w:r w:rsidR="0053258A">
        <w:t>:</w:t>
      </w:r>
      <w:r w:rsidR="001645AD">
        <w:t xml:space="preserve"> </w:t>
      </w:r>
      <w:r w:rsidR="0053258A">
        <w:t>t</w:t>
      </w:r>
      <w:r w:rsidR="0053258A" w:rsidRPr="0053258A">
        <w:t xml:space="preserve">he data supplied from the </w:t>
      </w:r>
      <w:r w:rsidR="0091271B">
        <w:t>EHR</w:t>
      </w:r>
      <w:r w:rsidR="0053258A" w:rsidRPr="0053258A">
        <w:t xml:space="preserve"> will be raw data and may not be in the exact format you need. You will need to have the skills to transform data and link data together. Data will often be time-stamped and you will get multiple values where you only need one. For example</w:t>
      </w:r>
      <w:r w:rsidR="0053258A">
        <w:t xml:space="preserve">, </w:t>
      </w:r>
      <w:r w:rsidR="0005688A">
        <w:t>Clinical Informatics may provide you</w:t>
      </w:r>
      <w:r w:rsidR="00E40664">
        <w:t xml:space="preserve"> with multiple values for weight instead of a single value if a</w:t>
      </w:r>
      <w:r w:rsidR="0053258A">
        <w:t xml:space="preserve"> patient </w:t>
      </w:r>
      <w:r w:rsidR="00E40664">
        <w:t>is weighed</w:t>
      </w:r>
      <w:r w:rsidR="0053258A" w:rsidRPr="0053258A">
        <w:t xml:space="preserve"> frequentl</w:t>
      </w:r>
      <w:r w:rsidR="0053258A">
        <w:t>y during their hospital episode</w:t>
      </w:r>
      <w:r w:rsidR="00E40664">
        <w:t>.</w:t>
      </w:r>
    </w:p>
    <w:p w14:paraId="75F7E7ED" w14:textId="0E1E4CA5" w:rsidR="00E00A2E" w:rsidRDefault="0056354F" w:rsidP="00E17EB2">
      <w:pPr>
        <w:jc w:val="both"/>
      </w:pPr>
      <w:r>
        <w:t>If data is manually extracte</w:t>
      </w:r>
      <w:r w:rsidR="00613FD3">
        <w:t>d, this must be done by a member of the direct clinical team</w:t>
      </w:r>
      <w:r w:rsidR="005F1EA7">
        <w:t xml:space="preserve">. Please see section </w:t>
      </w:r>
      <w:r w:rsidR="00D935C0">
        <w:t>3</w:t>
      </w:r>
      <w:r w:rsidR="00434F0C">
        <w:t xml:space="preserve">.3 </w:t>
      </w:r>
      <w:r w:rsidR="005F1EA7">
        <w:t>for more information on t</w:t>
      </w:r>
      <w:r w:rsidR="00D75B30">
        <w:t>he requirements for anonymising the data.</w:t>
      </w:r>
    </w:p>
    <w:p w14:paraId="6E940921" w14:textId="77777777" w:rsidR="00EC5551" w:rsidRDefault="00EC5551" w:rsidP="00E17EB2">
      <w:pPr>
        <w:jc w:val="both"/>
      </w:pPr>
    </w:p>
    <w:p w14:paraId="2D07FA85" w14:textId="38D13CF6" w:rsidR="006D0675" w:rsidRPr="00455374" w:rsidRDefault="00EC5551" w:rsidP="00E17EB2">
      <w:pPr>
        <w:pStyle w:val="Heading2"/>
        <w:jc w:val="both"/>
        <w:rPr>
          <w:rFonts w:ascii="Calibri" w:hAnsi="Calibri" w:cs="Calibri"/>
          <w:b/>
          <w:color w:val="auto"/>
          <w:sz w:val="24"/>
          <w:szCs w:val="24"/>
          <w:u w:val="single"/>
        </w:rPr>
      </w:pPr>
      <w:bookmarkStart w:id="19" w:name="_Toc204260181"/>
      <w:r w:rsidRPr="00455374">
        <w:rPr>
          <w:rFonts w:ascii="Calibri" w:hAnsi="Calibri" w:cs="Calibri"/>
          <w:b/>
          <w:color w:val="auto"/>
          <w:sz w:val="24"/>
          <w:szCs w:val="24"/>
          <w:u w:val="single"/>
        </w:rPr>
        <w:t>3.2</w:t>
      </w:r>
      <w:r w:rsidR="006D0675" w:rsidRPr="00455374">
        <w:rPr>
          <w:rFonts w:ascii="Calibri" w:hAnsi="Calibri" w:cs="Calibri"/>
          <w:b/>
          <w:color w:val="auto"/>
          <w:sz w:val="24"/>
          <w:szCs w:val="24"/>
          <w:u w:val="single"/>
        </w:rPr>
        <w:t xml:space="preserve"> Approval and data extraction</w:t>
      </w:r>
      <w:bookmarkEnd w:id="19"/>
    </w:p>
    <w:p w14:paraId="26228002" w14:textId="77777777" w:rsidR="006D0675" w:rsidRDefault="006D0675" w:rsidP="00E17EB2">
      <w:pPr>
        <w:jc w:val="both"/>
      </w:pPr>
    </w:p>
    <w:p w14:paraId="14958F57" w14:textId="77777777" w:rsidR="006D0675" w:rsidRDefault="006D0675">
      <w:pPr>
        <w:jc w:val="both"/>
      </w:pPr>
      <w:r>
        <w:t xml:space="preserve">All required approvals must be in place before the study can start. HRA approval does not mean the study can start; approval from R&amp;D at CUH is always the final step. You will receive an email with an approval letter from R&amp;D.  </w:t>
      </w:r>
    </w:p>
    <w:p w14:paraId="48A8C270" w14:textId="4E1C8082" w:rsidR="006D0675" w:rsidRPr="00E649E2" w:rsidRDefault="006D0675">
      <w:pPr>
        <w:jc w:val="both"/>
      </w:pPr>
      <w:r>
        <w:t xml:space="preserve">Standard conditions for the ERIN database are outlined in the ERIN </w:t>
      </w:r>
      <w:r w:rsidR="00206B8B">
        <w:t>approval letter</w:t>
      </w:r>
      <w:r>
        <w:t xml:space="preserve"> and below:</w:t>
      </w:r>
    </w:p>
    <w:p w14:paraId="2442A7CE" w14:textId="77777777" w:rsidR="0005688A" w:rsidRPr="0005688A" w:rsidRDefault="0005688A" w:rsidP="00E17EB2">
      <w:pPr>
        <w:spacing w:after="0"/>
        <w:jc w:val="both"/>
        <w:rPr>
          <w:iCs/>
        </w:rPr>
      </w:pPr>
      <w:r w:rsidRPr="0005688A">
        <w:rPr>
          <w:iCs/>
        </w:rPr>
        <w:t xml:space="preserve">• Data must be transferred/stored/analysed as per the approved application </w:t>
      </w:r>
    </w:p>
    <w:p w14:paraId="2C2C513E" w14:textId="77777777" w:rsidR="0005688A" w:rsidRPr="0005688A" w:rsidRDefault="0005688A" w:rsidP="00E17EB2">
      <w:pPr>
        <w:spacing w:after="0"/>
        <w:jc w:val="both"/>
        <w:rPr>
          <w:iCs/>
        </w:rPr>
      </w:pPr>
      <w:r w:rsidRPr="0005688A">
        <w:rPr>
          <w:iCs/>
        </w:rPr>
        <w:t xml:space="preserve">• No personal identifiable data should be used for analysis or transferred/stored outside of CUH. </w:t>
      </w:r>
    </w:p>
    <w:p w14:paraId="3B359556" w14:textId="77777777" w:rsidR="0005688A" w:rsidRPr="0005688A" w:rsidRDefault="0005688A" w:rsidP="00E17EB2">
      <w:pPr>
        <w:spacing w:after="0"/>
        <w:jc w:val="both"/>
        <w:rPr>
          <w:iCs/>
        </w:rPr>
      </w:pPr>
      <w:r w:rsidRPr="0005688A">
        <w:rPr>
          <w:iCs/>
        </w:rPr>
        <w:t xml:space="preserve">• Information from flagged patient records should not be included in research datasets. </w:t>
      </w:r>
    </w:p>
    <w:p w14:paraId="11AEC79B" w14:textId="0D7A0D06" w:rsidR="0005688A" w:rsidRPr="0005688A" w:rsidRDefault="0005688A" w:rsidP="00E17EB2">
      <w:pPr>
        <w:spacing w:after="0"/>
        <w:jc w:val="both"/>
        <w:rPr>
          <w:iCs/>
        </w:rPr>
      </w:pPr>
      <w:r w:rsidRPr="0005688A">
        <w:rPr>
          <w:iCs/>
        </w:rPr>
        <w:t xml:space="preserve">• All members of the care team who are involved with de-identifying patient data must have completed the mandatory CUHNFT </w:t>
      </w:r>
      <w:r w:rsidR="00E56CEC">
        <w:rPr>
          <w:iCs/>
        </w:rPr>
        <w:t>DP</w:t>
      </w:r>
      <w:r w:rsidRPr="0005688A">
        <w:rPr>
          <w:iCs/>
        </w:rPr>
        <w:t xml:space="preserve"> training. </w:t>
      </w:r>
    </w:p>
    <w:p w14:paraId="792C4418" w14:textId="05DB194F" w:rsidR="0005688A" w:rsidRPr="0005688A" w:rsidRDefault="0005688A" w:rsidP="00E17EB2">
      <w:pPr>
        <w:spacing w:after="0"/>
        <w:jc w:val="both"/>
        <w:rPr>
          <w:iCs/>
        </w:rPr>
      </w:pPr>
      <w:r w:rsidRPr="0005688A">
        <w:rPr>
          <w:iCs/>
        </w:rPr>
        <w:t xml:space="preserve">• The data gathered will only be accessed by members of the study team and no data will be shared with any third party. Any use of the data or research collaboration not explicitly documented in the protocol must be discussed with </w:t>
      </w:r>
      <w:r w:rsidR="007E1245">
        <w:rPr>
          <w:iCs/>
        </w:rPr>
        <w:t>the data team</w:t>
      </w:r>
      <w:r w:rsidRPr="0005688A">
        <w:rPr>
          <w:iCs/>
        </w:rPr>
        <w:t xml:space="preserve"> prior to any contractual negotiations or commencement. </w:t>
      </w:r>
    </w:p>
    <w:p w14:paraId="323D552A" w14:textId="77777777" w:rsidR="0005688A" w:rsidRPr="0005688A" w:rsidRDefault="0005688A" w:rsidP="00E17EB2">
      <w:pPr>
        <w:spacing w:after="0"/>
        <w:jc w:val="both"/>
        <w:rPr>
          <w:iCs/>
        </w:rPr>
      </w:pPr>
      <w:r w:rsidRPr="0005688A">
        <w:rPr>
          <w:iCs/>
        </w:rPr>
        <w:t xml:space="preserve">• No algorithm or prediction tool developed using data for this study should be used in clinical practice without the appropriate Trust and/or regulatory approvals. </w:t>
      </w:r>
    </w:p>
    <w:p w14:paraId="75F8FD41" w14:textId="4E0D03EA" w:rsidR="0005688A" w:rsidRPr="0005688A" w:rsidRDefault="0005688A" w:rsidP="00E17EB2">
      <w:pPr>
        <w:spacing w:after="0"/>
        <w:jc w:val="both"/>
        <w:rPr>
          <w:iCs/>
        </w:rPr>
      </w:pPr>
      <w:r w:rsidRPr="0005688A">
        <w:rPr>
          <w:iCs/>
        </w:rPr>
        <w:t xml:space="preserve">• </w:t>
      </w:r>
      <w:r w:rsidR="007E1245">
        <w:rPr>
          <w:iCs/>
        </w:rPr>
        <w:t>The data team</w:t>
      </w:r>
      <w:r w:rsidRPr="0005688A">
        <w:rPr>
          <w:iCs/>
        </w:rPr>
        <w:t xml:space="preserve"> must be contacted if any product resulting from this study is to be commercialised. </w:t>
      </w:r>
    </w:p>
    <w:p w14:paraId="6C188E03" w14:textId="1895C479" w:rsidR="0005688A" w:rsidRPr="0005688A" w:rsidRDefault="0005688A" w:rsidP="00E17EB2">
      <w:pPr>
        <w:spacing w:after="0"/>
        <w:jc w:val="both"/>
        <w:rPr>
          <w:iCs/>
        </w:rPr>
      </w:pPr>
      <w:r w:rsidRPr="0005688A">
        <w:rPr>
          <w:iCs/>
        </w:rPr>
        <w:t>• All staff involved with the research must ensure that data is stored and processed in accordance with the Data Protection Act 2018</w:t>
      </w:r>
      <w:r w:rsidR="00E56CEC">
        <w:rPr>
          <w:iCs/>
        </w:rPr>
        <w:t xml:space="preserve"> (DPA)</w:t>
      </w:r>
      <w:r w:rsidRPr="0005688A">
        <w:rPr>
          <w:iCs/>
        </w:rPr>
        <w:t xml:space="preserve">. </w:t>
      </w:r>
    </w:p>
    <w:p w14:paraId="050CFC69" w14:textId="77777777" w:rsidR="0005688A" w:rsidRPr="0005688A" w:rsidRDefault="0005688A" w:rsidP="00E17EB2">
      <w:pPr>
        <w:spacing w:after="0"/>
        <w:jc w:val="both"/>
        <w:rPr>
          <w:iCs/>
        </w:rPr>
      </w:pPr>
      <w:r w:rsidRPr="0005688A">
        <w:rPr>
          <w:iCs/>
        </w:rPr>
        <w:t>• No data will be shared or transferred outside of CUH without a fully executed contract or agreement in place.</w:t>
      </w:r>
    </w:p>
    <w:p w14:paraId="475C029D" w14:textId="77777777" w:rsidR="0005688A" w:rsidRDefault="0005688A" w:rsidP="00E17EB2">
      <w:pPr>
        <w:spacing w:after="0"/>
        <w:jc w:val="both"/>
        <w:rPr>
          <w:iCs/>
        </w:rPr>
      </w:pPr>
      <w:r w:rsidRPr="0005688A">
        <w:rPr>
          <w:iCs/>
        </w:rPr>
        <w:t>• All de-identification and data handling strategies discussed and agreed with CUH must be adhered to.</w:t>
      </w:r>
    </w:p>
    <w:p w14:paraId="700A7767" w14:textId="76AEA21A" w:rsidR="006D0675" w:rsidRDefault="006D0675">
      <w:pPr>
        <w:jc w:val="both"/>
      </w:pPr>
      <w:r>
        <w:t xml:space="preserve">After the application has received approval, </w:t>
      </w:r>
      <w:r w:rsidR="00142FA0">
        <w:t xml:space="preserve">you may extract </w:t>
      </w:r>
      <w:r>
        <w:t xml:space="preserve">the agreed data. If </w:t>
      </w:r>
      <w:r w:rsidR="00142FA0">
        <w:t xml:space="preserve">you are extracting </w:t>
      </w:r>
      <w:r>
        <w:t xml:space="preserve">the data manually, the member of the clinical care team extracting data must only extract the agreed dataset as set out in the approved study documentation. </w:t>
      </w:r>
      <w:r w:rsidR="00142FA0">
        <w:t>Please discuss any</w:t>
      </w:r>
      <w:r>
        <w:t xml:space="preserve"> further data extraction with </w:t>
      </w:r>
      <w:r w:rsidR="00142FA0">
        <w:t>the data team</w:t>
      </w:r>
      <w:r>
        <w:t xml:space="preserve">. When </w:t>
      </w:r>
      <w:r w:rsidR="00142FA0">
        <w:t>Clinical Informatics extracts data</w:t>
      </w:r>
      <w:r>
        <w:t xml:space="preserve">, </w:t>
      </w:r>
      <w:r w:rsidR="007E1245">
        <w:t>the data team</w:t>
      </w:r>
      <w:r>
        <w:t xml:space="preserve"> will validate the proposed extract to ensure it is compliant with the protocol.</w:t>
      </w:r>
    </w:p>
    <w:p w14:paraId="1DD68D00" w14:textId="77777777" w:rsidR="0055711A" w:rsidRPr="00E17EB2" w:rsidRDefault="0055711A">
      <w:pPr>
        <w:jc w:val="both"/>
        <w:rPr>
          <w:rFonts w:ascii="Calibri" w:hAnsi="Calibri" w:cs="Calibri"/>
        </w:rPr>
      </w:pPr>
    </w:p>
    <w:p w14:paraId="5A546243" w14:textId="51FFD287" w:rsidR="00D935C0" w:rsidRPr="00E17EB2" w:rsidRDefault="00D935C0" w:rsidP="00E17EB2">
      <w:pPr>
        <w:pStyle w:val="Heading2"/>
        <w:jc w:val="both"/>
        <w:rPr>
          <w:rFonts w:ascii="Calibri" w:hAnsi="Calibri" w:cs="Calibri"/>
          <w:b/>
          <w:color w:val="262626" w:themeColor="text1" w:themeTint="D9"/>
          <w:sz w:val="24"/>
          <w:u w:val="single"/>
        </w:rPr>
      </w:pPr>
      <w:bookmarkStart w:id="20" w:name="_Toc204260182"/>
      <w:r>
        <w:rPr>
          <w:rFonts w:ascii="Calibri" w:hAnsi="Calibri" w:cs="Calibri"/>
          <w:b/>
          <w:color w:val="262626" w:themeColor="text1" w:themeTint="D9"/>
          <w:sz w:val="24"/>
          <w:u w:val="single"/>
        </w:rPr>
        <w:lastRenderedPageBreak/>
        <w:t xml:space="preserve">3.3 </w:t>
      </w:r>
      <w:r w:rsidRPr="00E17EB2">
        <w:rPr>
          <w:rFonts w:ascii="Calibri" w:hAnsi="Calibri" w:cs="Calibri"/>
          <w:b/>
          <w:color w:val="262626" w:themeColor="text1" w:themeTint="D9"/>
          <w:sz w:val="24"/>
          <w:u w:val="single"/>
        </w:rPr>
        <w:t>De-identification of data</w:t>
      </w:r>
      <w:bookmarkEnd w:id="20"/>
    </w:p>
    <w:p w14:paraId="4653C4DE" w14:textId="53916B14" w:rsidR="00D935C0" w:rsidRDefault="00D935C0" w:rsidP="00E17EB2">
      <w:pPr>
        <w:jc w:val="both"/>
      </w:pPr>
    </w:p>
    <w:p w14:paraId="179A48F9" w14:textId="75B4E8AD" w:rsidR="00D935C0" w:rsidRDefault="00D935C0">
      <w:pPr>
        <w:jc w:val="both"/>
      </w:pPr>
      <w:r>
        <w:t xml:space="preserve">For both </w:t>
      </w:r>
      <w:r w:rsidR="00E56CEC">
        <w:t xml:space="preserve">the UK </w:t>
      </w:r>
      <w:r w:rsidR="00E56CEC">
        <w:rPr>
          <w:rFonts w:ascii="Calibri" w:hAnsi="Calibri" w:cs="Calibri"/>
        </w:rPr>
        <w:t>General Data Protection Regulation</w:t>
      </w:r>
      <w:r w:rsidR="00E56CEC">
        <w:t xml:space="preserve"> (</w:t>
      </w:r>
      <w:r>
        <w:t>GDPR</w:t>
      </w:r>
      <w:r w:rsidR="00E56CEC">
        <w:t>)</w:t>
      </w:r>
      <w:r>
        <w:t xml:space="preserve"> and the common law duty of confidentiality, it is key to determine whether data are identifiable or not. Here it is important to consider the content (i.e. the data), the context (controls on usage) and the means reasonably likely to be available for re-identification. The means reasonably likely to be available may include a </w:t>
      </w:r>
      <w:bookmarkStart w:id="21" w:name="_GoBack"/>
      <w:r>
        <w:t>pseudo</w:t>
      </w:r>
      <w:bookmarkEnd w:id="21"/>
      <w:r>
        <w:t xml:space="preserve">nymisation key, other information the organisation holds or is publicly available; or personal knowledge which allows spontaneous re-identification. </w:t>
      </w:r>
    </w:p>
    <w:p w14:paraId="14EE3E98" w14:textId="77777777" w:rsidR="00D935C0" w:rsidRDefault="00D935C0">
      <w:pPr>
        <w:jc w:val="both"/>
      </w:pPr>
      <w:r>
        <w:t xml:space="preserve">In some cases, the data that are analysed may be anonymous through content alone; however, this can be a difficult standard to achieve for research whilst maintaining the utility of the dataset. In other cases, the content of the data that are analysed may be pseudonymous; however, it may be possible to effectively anonymise the data through controlling the context using contractual and behavioural controls. Lastly, there may be cases where the data are so rich that it is not possible to effectively anonymise data and the data are therefore classed as pseudonymous in law. </w:t>
      </w:r>
      <w:r w:rsidRPr="00C02C8C">
        <w:t>De-identified data is an umbrella term for all three states. In all cases, the generation of de-identified data will require the processing of personal and confidential data through accessing medical records.</w:t>
      </w:r>
    </w:p>
    <w:p w14:paraId="12E4014C" w14:textId="59E64E55" w:rsidR="00D935C0" w:rsidRDefault="00D935C0" w:rsidP="00E17EB2">
      <w:pPr>
        <w:jc w:val="both"/>
      </w:pPr>
      <w:r>
        <w:t xml:space="preserve">Personal data must be stored for as little time as possible and should be de-identified at the earliest opportunity. Please see </w:t>
      </w:r>
      <w:r w:rsidR="00E56CEC">
        <w:t>Information Commissioner’s Office (</w:t>
      </w:r>
      <w:hyperlink r:id="rId39" w:anchor="archiving" w:history="1">
        <w:r w:rsidRPr="000B1F53">
          <w:rPr>
            <w:rStyle w:val="Hyperlink"/>
          </w:rPr>
          <w:t>ICO</w:t>
        </w:r>
        <w:r w:rsidR="00E56CEC">
          <w:rPr>
            <w:rStyle w:val="Hyperlink"/>
          </w:rPr>
          <w:t>)</w:t>
        </w:r>
        <w:r w:rsidRPr="000B1F53">
          <w:rPr>
            <w:rStyle w:val="Hyperlink"/>
          </w:rPr>
          <w:t xml:space="preserve"> guidance</w:t>
        </w:r>
      </w:hyperlink>
      <w:r>
        <w:t xml:space="preserve"> on storage of personal data for further information.</w:t>
      </w:r>
    </w:p>
    <w:p w14:paraId="50127D4D" w14:textId="49E30C9D" w:rsidR="00D935C0" w:rsidRDefault="00D935C0" w:rsidP="00E17EB2">
      <w:pPr>
        <w:jc w:val="both"/>
      </w:pPr>
      <w:r>
        <w:t>Please find below outlined the de-identification standards and contextual safeguards.</w:t>
      </w:r>
    </w:p>
    <w:p w14:paraId="705DD1C1" w14:textId="77777777" w:rsidR="00D935C0" w:rsidRDefault="00D935C0" w:rsidP="00E17EB2">
      <w:pPr>
        <w:jc w:val="both"/>
      </w:pPr>
    </w:p>
    <w:p w14:paraId="5A44D0B3" w14:textId="6D8BE64D" w:rsidR="00D935C0" w:rsidRPr="00455374" w:rsidRDefault="00D935C0" w:rsidP="00E17EB2">
      <w:pPr>
        <w:pStyle w:val="Heading3"/>
        <w:jc w:val="both"/>
        <w:rPr>
          <w:rFonts w:ascii="Calibri" w:hAnsi="Calibri" w:cs="Calibri"/>
          <w:bCs/>
          <w:color w:val="auto"/>
          <w:szCs w:val="28"/>
          <w:u w:val="single"/>
        </w:rPr>
      </w:pPr>
      <w:bookmarkStart w:id="22" w:name="_Toc204260183"/>
      <w:r>
        <w:rPr>
          <w:rFonts w:ascii="Calibri" w:hAnsi="Calibri" w:cs="Calibri"/>
          <w:bCs/>
          <w:color w:val="auto"/>
          <w:szCs w:val="28"/>
          <w:u w:val="single"/>
        </w:rPr>
        <w:t>3</w:t>
      </w:r>
      <w:r w:rsidRPr="00455374">
        <w:rPr>
          <w:rFonts w:ascii="Calibri" w:hAnsi="Calibri" w:cs="Calibri"/>
          <w:bCs/>
          <w:color w:val="auto"/>
          <w:szCs w:val="28"/>
          <w:u w:val="single"/>
        </w:rPr>
        <w:t>.3.1 De-identification of data</w:t>
      </w:r>
      <w:bookmarkEnd w:id="22"/>
    </w:p>
    <w:p w14:paraId="1D0738F9" w14:textId="77777777" w:rsidR="00D935C0" w:rsidRDefault="00D935C0" w:rsidP="00E17EB2">
      <w:pPr>
        <w:jc w:val="both"/>
      </w:pPr>
    </w:p>
    <w:p w14:paraId="3921690C" w14:textId="77777777" w:rsidR="00D935C0" w:rsidRDefault="00D935C0">
      <w:pPr>
        <w:pStyle w:val="ListParagraph"/>
        <w:numPr>
          <w:ilvl w:val="0"/>
          <w:numId w:val="23"/>
        </w:numPr>
        <w:jc w:val="both"/>
      </w:pPr>
      <w:r w:rsidRPr="006B6611">
        <w:t>Directly identifiable data fields must be replaced with a study specific pseudonym</w:t>
      </w:r>
    </w:p>
    <w:p w14:paraId="51C7BADD" w14:textId="77777777" w:rsidR="00D935C0" w:rsidRDefault="00D935C0">
      <w:pPr>
        <w:pStyle w:val="ListParagraph"/>
        <w:numPr>
          <w:ilvl w:val="0"/>
          <w:numId w:val="23"/>
        </w:numPr>
        <w:jc w:val="both"/>
      </w:pPr>
      <w:r w:rsidRPr="006B6611">
        <w:t>Letters should be used within the pseudonym for an NHS number to avoid confusion with original NHS numbers</w:t>
      </w:r>
    </w:p>
    <w:p w14:paraId="76589164" w14:textId="77777777" w:rsidR="00D935C0" w:rsidRDefault="00D935C0">
      <w:pPr>
        <w:pStyle w:val="ListParagraph"/>
        <w:numPr>
          <w:ilvl w:val="0"/>
          <w:numId w:val="23"/>
        </w:numPr>
        <w:jc w:val="both"/>
      </w:pPr>
      <w:r w:rsidRPr="006B6611">
        <w:t>Any pseudonymisation key must be stored separately from the main dataset in a password protected Trust environment wit</w:t>
      </w:r>
      <w:r>
        <w:t>h limited and controlled access</w:t>
      </w:r>
    </w:p>
    <w:p w14:paraId="3ECE92C1" w14:textId="29BDDA45" w:rsidR="00D935C0" w:rsidRDefault="00142FA0">
      <w:pPr>
        <w:pStyle w:val="ListParagraph"/>
        <w:numPr>
          <w:ilvl w:val="0"/>
          <w:numId w:val="23"/>
        </w:numPr>
        <w:jc w:val="both"/>
      </w:pPr>
      <w:r>
        <w:t>DOB</w:t>
      </w:r>
      <w:r w:rsidR="00D935C0">
        <w:t xml:space="preserve"> is a strong indirect identifier and should be removed from datasets. Ideally DOB should be converted to age bands and if necessary, age may be acceptable depending on other variables</w:t>
      </w:r>
    </w:p>
    <w:p w14:paraId="15E0BF79" w14:textId="77777777" w:rsidR="00D935C0" w:rsidRDefault="00D935C0">
      <w:pPr>
        <w:pStyle w:val="ListParagraph"/>
        <w:numPr>
          <w:ilvl w:val="0"/>
          <w:numId w:val="23"/>
        </w:numPr>
        <w:jc w:val="both"/>
      </w:pPr>
      <w:r>
        <w:t>Date of death should be converted to time elapsed or month and year</w:t>
      </w:r>
    </w:p>
    <w:p w14:paraId="6A1E31C3" w14:textId="77777777" w:rsidR="00D935C0" w:rsidRDefault="00D935C0">
      <w:pPr>
        <w:pStyle w:val="ListParagraph"/>
        <w:numPr>
          <w:ilvl w:val="0"/>
          <w:numId w:val="23"/>
        </w:numPr>
        <w:jc w:val="both"/>
      </w:pPr>
      <w:r>
        <w:t>Other s</w:t>
      </w:r>
      <w:r w:rsidRPr="006B6611">
        <w:t>pecific dates (e.g. diagnosis, treatment, scans) should be removed where possible unless justified and specific consideration should be given to the impact of inclusion. Where sequencing is imperative, lapsed time or offset dates may be a suitable alternative</w:t>
      </w:r>
    </w:p>
    <w:p w14:paraId="2367F782" w14:textId="77777777" w:rsidR="00D935C0" w:rsidRDefault="00D935C0">
      <w:pPr>
        <w:pStyle w:val="ListParagraph"/>
        <w:numPr>
          <w:ilvl w:val="0"/>
          <w:numId w:val="23"/>
        </w:numPr>
        <w:jc w:val="both"/>
      </w:pPr>
      <w:r w:rsidRPr="006B6611">
        <w:t xml:space="preserve">Full postcode is a strong indirect identifier and should not be included in datasets. Ideally postcodes will be replaced with the relevant output data (such as </w:t>
      </w:r>
      <w:r>
        <w:t>Indices of Multiple Deprivation (</w:t>
      </w:r>
      <w:r w:rsidRPr="006B6611">
        <w:t>IMD</w:t>
      </w:r>
      <w:r>
        <w:t>)</w:t>
      </w:r>
      <w:r w:rsidRPr="006B6611">
        <w:t>) or first part of the postco</w:t>
      </w:r>
      <w:r>
        <w:t>de (outward code) if justified. However IMD ranks are suitable due to the high specificity</w:t>
      </w:r>
    </w:p>
    <w:p w14:paraId="668EFEC1" w14:textId="77777777" w:rsidR="00D935C0" w:rsidRDefault="00D935C0">
      <w:pPr>
        <w:pStyle w:val="ListParagraph"/>
        <w:numPr>
          <w:ilvl w:val="0"/>
          <w:numId w:val="23"/>
        </w:numPr>
        <w:jc w:val="both"/>
      </w:pPr>
      <w:r w:rsidRPr="006B6611">
        <w:t>Potentially identifying ou</w:t>
      </w:r>
      <w:r>
        <w:t xml:space="preserve">tlying values should be avoided. </w:t>
      </w:r>
      <w:r w:rsidRPr="006B6611">
        <w:t>Upper/lower bands</w:t>
      </w:r>
      <w:r>
        <w:t xml:space="preserve"> or small number suppression</w:t>
      </w:r>
      <w:r w:rsidRPr="006B6611">
        <w:t xml:space="preserve"> may be appropriate</w:t>
      </w:r>
      <w:r>
        <w:t xml:space="preserve"> </w:t>
      </w:r>
    </w:p>
    <w:p w14:paraId="16D02BBA" w14:textId="3792B996" w:rsidR="00D935C0" w:rsidRDefault="00D935C0">
      <w:pPr>
        <w:pStyle w:val="ListParagraph"/>
        <w:numPr>
          <w:ilvl w:val="0"/>
          <w:numId w:val="23"/>
        </w:numPr>
        <w:jc w:val="both"/>
      </w:pPr>
      <w:r w:rsidRPr="006B6611">
        <w:lastRenderedPageBreak/>
        <w:t>Special consideration should be given to small group characteristics, including patients with rare diseases, or receiving unusual treatments and medicines</w:t>
      </w:r>
      <w:r>
        <w:t xml:space="preserve">. </w:t>
      </w:r>
      <w:r w:rsidR="00142FA0">
        <w:t>Small</w:t>
      </w:r>
      <w:r>
        <w:t xml:space="preserve"> sample sizes will be considered as small groups</w:t>
      </w:r>
    </w:p>
    <w:p w14:paraId="4B2A2A7A" w14:textId="77777777" w:rsidR="00D935C0" w:rsidRDefault="00D935C0">
      <w:pPr>
        <w:pStyle w:val="ListParagraph"/>
        <w:numPr>
          <w:ilvl w:val="0"/>
          <w:numId w:val="23"/>
        </w:numPr>
        <w:jc w:val="both"/>
      </w:pPr>
      <w:r w:rsidRPr="006B6611">
        <w:t>Legally restricted codes should be removed unless there is a strong justification and specific assessment of this data – such as Gender Recognition and Human Fertilisation and Embryology codes</w:t>
      </w:r>
    </w:p>
    <w:p w14:paraId="2BAC7518" w14:textId="77777777" w:rsidR="00D935C0" w:rsidRDefault="00D935C0">
      <w:pPr>
        <w:pStyle w:val="ListParagraph"/>
        <w:numPr>
          <w:ilvl w:val="0"/>
          <w:numId w:val="23"/>
        </w:numPr>
        <w:jc w:val="both"/>
      </w:pPr>
      <w:r w:rsidRPr="006B6611">
        <w:t>Genetic data should be assessed to understand whether this includes data unique to the individual</w:t>
      </w:r>
    </w:p>
    <w:p w14:paraId="1214ED58" w14:textId="1D12EFB3" w:rsidR="00D935C0" w:rsidRDefault="00D935C0">
      <w:pPr>
        <w:pStyle w:val="ListParagraph"/>
        <w:numPr>
          <w:ilvl w:val="0"/>
          <w:numId w:val="23"/>
        </w:numPr>
        <w:jc w:val="both"/>
      </w:pPr>
      <w:r>
        <w:t xml:space="preserve">Special consideration should be given to free text </w:t>
      </w:r>
      <w:r w:rsidR="00142FA0">
        <w:t>data,</w:t>
      </w:r>
      <w:r>
        <w:t xml:space="preserve"> as it is more difficult to ensure anonymity. Any free text fields will need to be manually reviewed redacted for potential identifiers by a member of the clinical team</w:t>
      </w:r>
    </w:p>
    <w:p w14:paraId="41F5063A" w14:textId="03070F4D" w:rsidR="00D935C0" w:rsidRDefault="00D935C0">
      <w:pPr>
        <w:jc w:val="both"/>
      </w:pPr>
    </w:p>
    <w:p w14:paraId="6FFCB490" w14:textId="6765389C" w:rsidR="00D935C0" w:rsidRPr="00455374" w:rsidRDefault="00D935C0" w:rsidP="00E17EB2">
      <w:pPr>
        <w:pStyle w:val="Heading3"/>
        <w:jc w:val="both"/>
        <w:rPr>
          <w:rFonts w:ascii="Calibri" w:hAnsi="Calibri" w:cs="Calibri"/>
          <w:bCs/>
          <w:color w:val="auto"/>
          <w:szCs w:val="28"/>
          <w:u w:val="single"/>
        </w:rPr>
      </w:pPr>
      <w:bookmarkStart w:id="23" w:name="_Toc204260184"/>
      <w:r>
        <w:rPr>
          <w:rFonts w:ascii="Calibri" w:hAnsi="Calibri" w:cs="Calibri"/>
          <w:bCs/>
          <w:color w:val="auto"/>
          <w:szCs w:val="28"/>
          <w:u w:val="single"/>
        </w:rPr>
        <w:t>3</w:t>
      </w:r>
      <w:r w:rsidRPr="00455374">
        <w:rPr>
          <w:rFonts w:ascii="Calibri" w:hAnsi="Calibri" w:cs="Calibri"/>
          <w:bCs/>
          <w:color w:val="auto"/>
          <w:szCs w:val="28"/>
          <w:u w:val="single"/>
        </w:rPr>
        <w:t>.3.2 Contextual safeguards</w:t>
      </w:r>
      <w:bookmarkEnd w:id="23"/>
    </w:p>
    <w:p w14:paraId="4CA7DBD1" w14:textId="77777777" w:rsidR="00D935C0" w:rsidRDefault="00D935C0" w:rsidP="00E17EB2">
      <w:pPr>
        <w:jc w:val="both"/>
      </w:pPr>
      <w:r>
        <w:t xml:space="preserve"> </w:t>
      </w:r>
    </w:p>
    <w:p w14:paraId="5EA8C328" w14:textId="77777777" w:rsidR="00D935C0" w:rsidRDefault="00D935C0" w:rsidP="00E17EB2">
      <w:pPr>
        <w:pStyle w:val="ListParagraph"/>
        <w:numPr>
          <w:ilvl w:val="0"/>
          <w:numId w:val="24"/>
        </w:numPr>
        <w:jc w:val="both"/>
      </w:pPr>
      <w:r w:rsidRPr="002B7DAE">
        <w:t>Data sharing/transfer agreement in place – prohibiting re-</w:t>
      </w:r>
      <w:r>
        <w:t>identification, s</w:t>
      </w:r>
      <w:r w:rsidRPr="002B7DAE">
        <w:t>haring/copying/linking data, use beyond agreed purpose</w:t>
      </w:r>
    </w:p>
    <w:p w14:paraId="0B53B465" w14:textId="77777777" w:rsidR="00D935C0" w:rsidRDefault="00D935C0" w:rsidP="00E17EB2">
      <w:pPr>
        <w:pStyle w:val="ListParagraph"/>
        <w:numPr>
          <w:ilvl w:val="0"/>
          <w:numId w:val="24"/>
        </w:numPr>
        <w:jc w:val="both"/>
      </w:pPr>
      <w:r w:rsidRPr="002B7DAE">
        <w:t>Researcher(s) trained in data protection and duty of confidentiality</w:t>
      </w:r>
    </w:p>
    <w:p w14:paraId="253C3885" w14:textId="77777777" w:rsidR="00D935C0" w:rsidRDefault="00D935C0" w:rsidP="00E17EB2">
      <w:pPr>
        <w:pStyle w:val="ListParagraph"/>
        <w:numPr>
          <w:ilvl w:val="0"/>
          <w:numId w:val="24"/>
        </w:numPr>
        <w:jc w:val="both"/>
      </w:pPr>
      <w:r w:rsidRPr="00C429CE">
        <w:t>Researcher(s) bound by employment contract with recipient organisation</w:t>
      </w:r>
    </w:p>
    <w:p w14:paraId="12511824" w14:textId="77777777" w:rsidR="00D935C0" w:rsidRDefault="00D935C0" w:rsidP="00E17EB2">
      <w:pPr>
        <w:pStyle w:val="ListParagraph"/>
        <w:numPr>
          <w:ilvl w:val="0"/>
          <w:numId w:val="24"/>
        </w:numPr>
        <w:jc w:val="both"/>
      </w:pPr>
      <w:r w:rsidRPr="00C429CE">
        <w:t>Researcher(s) bound by code of professional ethics/standards</w:t>
      </w:r>
    </w:p>
    <w:p w14:paraId="4C17DE0A" w14:textId="77777777" w:rsidR="00D935C0" w:rsidRDefault="00D935C0" w:rsidP="00E17EB2">
      <w:pPr>
        <w:pStyle w:val="ListParagraph"/>
        <w:numPr>
          <w:ilvl w:val="0"/>
          <w:numId w:val="24"/>
        </w:numPr>
        <w:jc w:val="both"/>
      </w:pPr>
      <w:r w:rsidRPr="00C429CE">
        <w:t>Policies and procedures regarding safe storage and use of data</w:t>
      </w:r>
    </w:p>
    <w:p w14:paraId="4AAE11FB" w14:textId="77777777" w:rsidR="00D935C0" w:rsidRDefault="00D935C0" w:rsidP="00E17EB2">
      <w:pPr>
        <w:pStyle w:val="ListParagraph"/>
        <w:numPr>
          <w:ilvl w:val="0"/>
          <w:numId w:val="24"/>
        </w:numPr>
        <w:jc w:val="both"/>
      </w:pPr>
      <w:r w:rsidRPr="00C429CE">
        <w:t>Culture protecting patient confidentiality (e.g. NHS)</w:t>
      </w:r>
    </w:p>
    <w:p w14:paraId="12F496B0" w14:textId="77777777" w:rsidR="00D935C0" w:rsidRDefault="00D935C0" w:rsidP="00E17EB2">
      <w:pPr>
        <w:pStyle w:val="ListParagraph"/>
        <w:numPr>
          <w:ilvl w:val="0"/>
          <w:numId w:val="24"/>
        </w:numPr>
        <w:jc w:val="both"/>
      </w:pPr>
      <w:r w:rsidRPr="00C429CE">
        <w:t>Cybersecurity equivalent to prevailing NHS standards</w:t>
      </w:r>
    </w:p>
    <w:p w14:paraId="4C45A2DF" w14:textId="77777777" w:rsidR="00D935C0" w:rsidRDefault="00D935C0" w:rsidP="00E17EB2">
      <w:pPr>
        <w:pStyle w:val="ListParagraph"/>
        <w:numPr>
          <w:ilvl w:val="0"/>
          <w:numId w:val="24"/>
        </w:numPr>
        <w:jc w:val="both"/>
      </w:pPr>
      <w:r w:rsidRPr="00C429CE">
        <w:t>Secure transfer method agreed</w:t>
      </w:r>
    </w:p>
    <w:p w14:paraId="2686230C" w14:textId="77777777" w:rsidR="00D935C0" w:rsidRDefault="00D935C0" w:rsidP="00E17EB2">
      <w:pPr>
        <w:pStyle w:val="ListParagraph"/>
        <w:numPr>
          <w:ilvl w:val="0"/>
          <w:numId w:val="24"/>
        </w:numPr>
        <w:jc w:val="both"/>
      </w:pPr>
      <w:r w:rsidRPr="00C429CE">
        <w:t>Password protection/two-factor authentication</w:t>
      </w:r>
      <w:r>
        <w:t xml:space="preserve"> in analysis location</w:t>
      </w:r>
    </w:p>
    <w:p w14:paraId="02FB5BA1" w14:textId="77777777" w:rsidR="00D935C0" w:rsidRDefault="00D935C0" w:rsidP="00E17EB2">
      <w:pPr>
        <w:pStyle w:val="ListParagraph"/>
        <w:numPr>
          <w:ilvl w:val="0"/>
          <w:numId w:val="24"/>
        </w:numPr>
        <w:jc w:val="both"/>
      </w:pPr>
      <w:r w:rsidRPr="00C429CE">
        <w:t>Access limited to approved/named researchers</w:t>
      </w:r>
    </w:p>
    <w:p w14:paraId="7FF6E1E9" w14:textId="77777777" w:rsidR="00D935C0" w:rsidRDefault="00D935C0" w:rsidP="00E17EB2">
      <w:pPr>
        <w:pStyle w:val="ListParagraph"/>
        <w:numPr>
          <w:ilvl w:val="0"/>
          <w:numId w:val="24"/>
        </w:numPr>
        <w:jc w:val="both"/>
      </w:pPr>
      <w:r w:rsidRPr="00C429CE">
        <w:t>Copying/transferring data out of the analysis environment is disabled</w:t>
      </w:r>
    </w:p>
    <w:p w14:paraId="3D45B137" w14:textId="77777777" w:rsidR="00D935C0" w:rsidRPr="006B6611" w:rsidRDefault="00D935C0" w:rsidP="00E17EB2">
      <w:pPr>
        <w:pStyle w:val="ListParagraph"/>
        <w:numPr>
          <w:ilvl w:val="0"/>
          <w:numId w:val="24"/>
        </w:numPr>
        <w:jc w:val="both"/>
      </w:pPr>
      <w:r w:rsidRPr="00C429CE">
        <w:t>Destruction or return of data agreed/verified</w:t>
      </w:r>
    </w:p>
    <w:p w14:paraId="0CF1D984" w14:textId="3BDEDDED" w:rsidR="00D935C0" w:rsidRPr="00D935C0" w:rsidRDefault="00D935C0" w:rsidP="00E17EB2">
      <w:pPr>
        <w:jc w:val="both"/>
      </w:pPr>
    </w:p>
    <w:p w14:paraId="37AACF5D" w14:textId="13BFDC8F" w:rsidR="00914C7A" w:rsidRDefault="00EC5551" w:rsidP="00E17EB2">
      <w:pPr>
        <w:pStyle w:val="Heading2"/>
        <w:jc w:val="both"/>
        <w:rPr>
          <w:rFonts w:asciiTheme="minorHAnsi" w:hAnsiTheme="minorHAnsi" w:cstheme="minorHAnsi"/>
          <w:b/>
          <w:bCs/>
          <w:color w:val="000000" w:themeColor="text1"/>
          <w:sz w:val="24"/>
          <w:szCs w:val="24"/>
          <w:u w:val="single"/>
        </w:rPr>
      </w:pPr>
      <w:bookmarkStart w:id="24" w:name="_Toc204260185"/>
      <w:r>
        <w:rPr>
          <w:rFonts w:asciiTheme="minorHAnsi" w:hAnsiTheme="minorHAnsi" w:cstheme="minorHAnsi"/>
          <w:b/>
          <w:bCs/>
          <w:color w:val="000000" w:themeColor="text1"/>
          <w:sz w:val="24"/>
          <w:szCs w:val="24"/>
          <w:u w:val="single"/>
        </w:rPr>
        <w:t>3.</w:t>
      </w:r>
      <w:r w:rsidR="00D935C0">
        <w:rPr>
          <w:rFonts w:asciiTheme="minorHAnsi" w:hAnsiTheme="minorHAnsi" w:cstheme="minorHAnsi"/>
          <w:b/>
          <w:bCs/>
          <w:color w:val="000000" w:themeColor="text1"/>
          <w:sz w:val="24"/>
          <w:szCs w:val="24"/>
          <w:u w:val="single"/>
        </w:rPr>
        <w:t>4</w:t>
      </w:r>
      <w:r>
        <w:rPr>
          <w:rFonts w:asciiTheme="minorHAnsi" w:hAnsiTheme="minorHAnsi" w:cstheme="minorHAnsi"/>
          <w:b/>
          <w:bCs/>
          <w:color w:val="000000" w:themeColor="text1"/>
          <w:sz w:val="24"/>
          <w:szCs w:val="24"/>
          <w:u w:val="single"/>
        </w:rPr>
        <w:t xml:space="preserve"> </w:t>
      </w:r>
      <w:r w:rsidR="00914C7A" w:rsidRPr="00455374">
        <w:rPr>
          <w:rFonts w:asciiTheme="minorHAnsi" w:hAnsiTheme="minorHAnsi" w:cstheme="minorHAnsi"/>
          <w:b/>
          <w:bCs/>
          <w:color w:val="000000" w:themeColor="text1"/>
          <w:sz w:val="24"/>
          <w:szCs w:val="24"/>
          <w:u w:val="single"/>
        </w:rPr>
        <w:t>Data transfer</w:t>
      </w:r>
      <w:bookmarkEnd w:id="24"/>
    </w:p>
    <w:p w14:paraId="130E0AFB" w14:textId="77777777" w:rsidR="00EC5551" w:rsidRPr="00EC5551" w:rsidRDefault="00EC5551" w:rsidP="00E17EB2">
      <w:pPr>
        <w:jc w:val="both"/>
      </w:pPr>
    </w:p>
    <w:p w14:paraId="355C8031" w14:textId="67C87E0F" w:rsidR="00914C7A" w:rsidRDefault="00142FA0">
      <w:pPr>
        <w:jc w:val="both"/>
      </w:pPr>
      <w:r>
        <w:t>Researchers must transfer any data</w:t>
      </w:r>
      <w:r w:rsidR="00914C7A">
        <w:t xml:space="preserve"> using a secure and approved method – for example, </w:t>
      </w:r>
      <w:r>
        <w:t>NHS-to-NHS</w:t>
      </w:r>
      <w:r w:rsidR="00914C7A">
        <w:t xml:space="preserve"> mail, direct upload to an approved database, or another method discussed with </w:t>
      </w:r>
      <w:r w:rsidR="007E1245">
        <w:t>the data team</w:t>
      </w:r>
      <w:r w:rsidR="00914C7A">
        <w:t xml:space="preserve">. </w:t>
      </w:r>
      <w:r w:rsidR="00914C7A" w:rsidRPr="00BD61B2">
        <w:t xml:space="preserve">Transfer using physical portable drives or USBs </w:t>
      </w:r>
      <w:r w:rsidR="000C684F">
        <w:t>must be reviewed and approved by IG. Transfer to non-NHS sites can be encrypted using the Egress for NHS mail add-on.</w:t>
      </w:r>
    </w:p>
    <w:p w14:paraId="38AE9FA8" w14:textId="56472385" w:rsidR="00914C7A" w:rsidRDefault="00914C7A">
      <w:pPr>
        <w:jc w:val="both"/>
      </w:pPr>
      <w:r>
        <w:t xml:space="preserve">The data must be in an effectively anonymised form before leaving CUH. Therefore, it must not include any direct identifiers (such as MRN, </w:t>
      </w:r>
      <w:r w:rsidR="004B505D">
        <w:t>Date of Birth (</w:t>
      </w:r>
      <w:r>
        <w:t>DOB</w:t>
      </w:r>
      <w:r w:rsidR="004B505D">
        <w:t>)</w:t>
      </w:r>
      <w:r w:rsidR="00142FA0">
        <w:t xml:space="preserve"> or</w:t>
      </w:r>
      <w:r>
        <w:t xml:space="preserve"> name) and no data types or formats that are not permitted by ERIN</w:t>
      </w:r>
      <w:r w:rsidR="00434F0C">
        <w:t xml:space="preserve">. </w:t>
      </w:r>
      <w:r>
        <w:t xml:space="preserve">An agreement must be fully executed before any transfer can take place. </w:t>
      </w:r>
    </w:p>
    <w:p w14:paraId="1E2FD14A" w14:textId="20A6807C" w:rsidR="00914C7A" w:rsidRDefault="00914C7A">
      <w:pPr>
        <w:jc w:val="both"/>
      </w:pPr>
      <w:r>
        <w:t xml:space="preserve">No </w:t>
      </w:r>
      <w:r w:rsidR="00630243">
        <w:t>pseudonymisation</w:t>
      </w:r>
      <w:r>
        <w:t xml:space="preserve"> key can be transferred out of CUH.</w:t>
      </w:r>
    </w:p>
    <w:p w14:paraId="067A7DCA" w14:textId="77777777" w:rsidR="00914C7A" w:rsidRDefault="00914C7A" w:rsidP="00E17EB2">
      <w:pPr>
        <w:jc w:val="both"/>
      </w:pPr>
    </w:p>
    <w:p w14:paraId="429072FB" w14:textId="1C4AFAA9" w:rsidR="00EC5551" w:rsidRDefault="00EC5551" w:rsidP="00E17EB2">
      <w:pPr>
        <w:jc w:val="both"/>
      </w:pPr>
    </w:p>
    <w:p w14:paraId="037EEEE7" w14:textId="77777777" w:rsidR="00E17EB2" w:rsidRPr="00914C7A" w:rsidRDefault="00E17EB2" w:rsidP="00E17EB2">
      <w:pPr>
        <w:jc w:val="both"/>
      </w:pPr>
    </w:p>
    <w:p w14:paraId="48AB6FB2" w14:textId="6C63D0AA" w:rsidR="0055711A" w:rsidRPr="00455374" w:rsidRDefault="00EC5551" w:rsidP="00E17EB2">
      <w:pPr>
        <w:pStyle w:val="Heading2"/>
        <w:jc w:val="both"/>
        <w:rPr>
          <w:rFonts w:asciiTheme="minorHAnsi" w:hAnsiTheme="minorHAnsi" w:cstheme="minorHAnsi"/>
          <w:b/>
          <w:bCs/>
          <w:color w:val="000000" w:themeColor="text1"/>
          <w:sz w:val="24"/>
          <w:szCs w:val="24"/>
          <w:u w:val="single"/>
        </w:rPr>
      </w:pPr>
      <w:bookmarkStart w:id="25" w:name="_Toc204260186"/>
      <w:r>
        <w:rPr>
          <w:rFonts w:asciiTheme="minorHAnsi" w:hAnsiTheme="minorHAnsi" w:cstheme="minorHAnsi"/>
          <w:b/>
          <w:bCs/>
          <w:color w:val="000000" w:themeColor="text1"/>
          <w:sz w:val="24"/>
          <w:szCs w:val="24"/>
          <w:u w:val="single"/>
        </w:rPr>
        <w:lastRenderedPageBreak/>
        <w:t>3.</w:t>
      </w:r>
      <w:r w:rsidR="00D935C0">
        <w:rPr>
          <w:rFonts w:asciiTheme="minorHAnsi" w:hAnsiTheme="minorHAnsi" w:cstheme="minorHAnsi"/>
          <w:b/>
          <w:bCs/>
          <w:color w:val="000000" w:themeColor="text1"/>
          <w:sz w:val="24"/>
          <w:szCs w:val="24"/>
          <w:u w:val="single"/>
        </w:rPr>
        <w:t>5</w:t>
      </w:r>
      <w:r>
        <w:rPr>
          <w:rFonts w:asciiTheme="minorHAnsi" w:hAnsiTheme="minorHAnsi" w:cstheme="minorHAnsi"/>
          <w:b/>
          <w:bCs/>
          <w:color w:val="000000" w:themeColor="text1"/>
          <w:sz w:val="24"/>
          <w:szCs w:val="24"/>
          <w:u w:val="single"/>
        </w:rPr>
        <w:t xml:space="preserve"> </w:t>
      </w:r>
      <w:r w:rsidR="00E430BE" w:rsidRPr="00455374">
        <w:rPr>
          <w:rFonts w:asciiTheme="minorHAnsi" w:hAnsiTheme="minorHAnsi" w:cstheme="minorHAnsi"/>
          <w:b/>
          <w:bCs/>
          <w:color w:val="000000" w:themeColor="text1"/>
          <w:sz w:val="24"/>
          <w:szCs w:val="24"/>
          <w:u w:val="single"/>
        </w:rPr>
        <w:t>Data storage</w:t>
      </w:r>
      <w:bookmarkEnd w:id="25"/>
    </w:p>
    <w:p w14:paraId="12B8EE2B" w14:textId="77777777" w:rsidR="004346BB" w:rsidRPr="004346BB" w:rsidRDefault="004346BB" w:rsidP="00E17EB2">
      <w:pPr>
        <w:jc w:val="both"/>
      </w:pPr>
    </w:p>
    <w:p w14:paraId="6D95DD04" w14:textId="058939CC" w:rsidR="003C4EE4" w:rsidRDefault="0056354F" w:rsidP="00E17EB2">
      <w:pPr>
        <w:jc w:val="both"/>
      </w:pPr>
      <w:r>
        <w:t xml:space="preserve">Data must be stored in a secure environment meeting </w:t>
      </w:r>
      <w:r w:rsidR="00DB64EE">
        <w:t>Data S</w:t>
      </w:r>
      <w:r w:rsidR="004346BB">
        <w:t>ecurity and Protection Toolkit (</w:t>
      </w:r>
      <w:r w:rsidR="00B83798">
        <w:t>DSPT</w:t>
      </w:r>
      <w:r w:rsidR="004346BB">
        <w:t>)</w:t>
      </w:r>
      <w:r w:rsidR="003C4EE4">
        <w:t xml:space="preserve"> </w:t>
      </w:r>
      <w:r w:rsidR="00167072">
        <w:t xml:space="preserve">and/or </w:t>
      </w:r>
      <w:r w:rsidR="00CA5A22">
        <w:t>Internation</w:t>
      </w:r>
      <w:r w:rsidR="00D640C5">
        <w:t>al</w:t>
      </w:r>
      <w:r w:rsidR="00CA5A22">
        <w:t xml:space="preserve"> Security Organisation (</w:t>
      </w:r>
      <w:r w:rsidR="00167072">
        <w:t>ISO</w:t>
      </w:r>
      <w:r w:rsidR="00CA5A22">
        <w:t>)</w:t>
      </w:r>
      <w:r w:rsidR="00167072">
        <w:t xml:space="preserve"> 27001</w:t>
      </w:r>
      <w:r w:rsidR="00B83798">
        <w:t xml:space="preserve"> standards</w:t>
      </w:r>
      <w:r w:rsidR="008E102C">
        <w:t xml:space="preserve">. </w:t>
      </w:r>
      <w:r w:rsidR="00167072">
        <w:t>The DPST is a self-assessment tool developed</w:t>
      </w:r>
      <w:r w:rsidR="008E102C">
        <w:t xml:space="preserve"> by NHS </w:t>
      </w:r>
      <w:r w:rsidR="00142FA0">
        <w:t>England, which</w:t>
      </w:r>
      <w:r w:rsidR="002D20E5">
        <w:t xml:space="preserve"> assesses data security standards </w:t>
      </w:r>
      <w:r w:rsidR="00FB6C77">
        <w:t xml:space="preserve">and performance </w:t>
      </w:r>
      <w:r w:rsidR="002D20E5">
        <w:t xml:space="preserve">of an organisation against the </w:t>
      </w:r>
      <w:r w:rsidR="00FB6C77">
        <w:t>National Data Guardian standards</w:t>
      </w:r>
      <w:r w:rsidR="002D20E5">
        <w:t>. E</w:t>
      </w:r>
      <w:r w:rsidR="008E102C">
        <w:t xml:space="preserve">ach </w:t>
      </w:r>
      <w:r w:rsidR="002D20E5">
        <w:t>organisation</w:t>
      </w:r>
      <w:r w:rsidR="008E102C">
        <w:t xml:space="preserve"> accessing patient data must </w:t>
      </w:r>
      <w:r w:rsidR="0090495A">
        <w:t>have completed</w:t>
      </w:r>
      <w:r w:rsidR="008E102C">
        <w:t xml:space="preserve"> </w:t>
      </w:r>
      <w:r w:rsidR="002D20E5">
        <w:t xml:space="preserve">the </w:t>
      </w:r>
      <w:r w:rsidR="008E102C">
        <w:t>tool</w:t>
      </w:r>
      <w:r w:rsidR="00DB64EE">
        <w:t>, renewed</w:t>
      </w:r>
      <w:r w:rsidR="008E102C">
        <w:t xml:space="preserve"> annually.</w:t>
      </w:r>
      <w:r w:rsidR="008E102C" w:rsidRPr="008E102C">
        <w:t xml:space="preserve"> </w:t>
      </w:r>
      <w:r w:rsidR="008E102C">
        <w:t xml:space="preserve">The DSPT toolkit </w:t>
      </w:r>
      <w:r w:rsidR="00142FA0">
        <w:t>is available</w:t>
      </w:r>
      <w:r w:rsidR="008E102C">
        <w:t xml:space="preserve"> </w:t>
      </w:r>
      <w:hyperlink r:id="rId40" w:history="1">
        <w:r w:rsidR="008E102C" w:rsidRPr="009C5EEF">
          <w:rPr>
            <w:rStyle w:val="Hyperlink"/>
          </w:rPr>
          <w:t>here</w:t>
        </w:r>
      </w:hyperlink>
      <w:r w:rsidR="008E102C">
        <w:t xml:space="preserve">. ISO </w:t>
      </w:r>
      <w:r w:rsidR="00CA5A22">
        <w:t xml:space="preserve">27001 </w:t>
      </w:r>
      <w:r w:rsidR="008E102C">
        <w:t xml:space="preserve">is an international certification, which is similar to DSPT but reviews slightly different aspects. It can be used to demonstrate a standard of </w:t>
      </w:r>
      <w:r w:rsidR="00833103">
        <w:t xml:space="preserve">information </w:t>
      </w:r>
      <w:r w:rsidR="00EC5551">
        <w:t>security;</w:t>
      </w:r>
      <w:r w:rsidR="00833103">
        <w:t xml:space="preserve"> further information </w:t>
      </w:r>
      <w:r w:rsidR="00142FA0">
        <w:t>is available</w:t>
      </w:r>
      <w:r w:rsidR="00833103">
        <w:t xml:space="preserve"> </w:t>
      </w:r>
      <w:hyperlink r:id="rId41" w:history="1">
        <w:r w:rsidR="00833103" w:rsidRPr="00833103">
          <w:rPr>
            <w:rStyle w:val="Hyperlink"/>
          </w:rPr>
          <w:t>here</w:t>
        </w:r>
      </w:hyperlink>
      <w:r w:rsidR="00833103">
        <w:t>.</w:t>
      </w:r>
    </w:p>
    <w:p w14:paraId="7F3A14FD" w14:textId="1587572F" w:rsidR="0056354F" w:rsidRDefault="003C4EE4" w:rsidP="00E17EB2">
      <w:pPr>
        <w:jc w:val="both"/>
      </w:pPr>
      <w:r>
        <w:t>A s</w:t>
      </w:r>
      <w:r w:rsidR="009B02E2">
        <w:t>ecure environment</w:t>
      </w:r>
      <w:r>
        <w:t xml:space="preserve"> </w:t>
      </w:r>
      <w:r w:rsidR="009B02E2">
        <w:t xml:space="preserve">at CUH </w:t>
      </w:r>
      <w:r>
        <w:t>may include</w:t>
      </w:r>
      <w:r w:rsidR="009B02E2">
        <w:t xml:space="preserve"> </w:t>
      </w:r>
      <w:r w:rsidR="00833103">
        <w:t>an</w:t>
      </w:r>
      <w:r>
        <w:t xml:space="preserve"> NHS </w:t>
      </w:r>
      <w:r w:rsidR="009B02E2">
        <w:t xml:space="preserve">network folder, drive or </w:t>
      </w:r>
      <w:r w:rsidR="00142FA0">
        <w:t>database, which</w:t>
      </w:r>
      <w:r w:rsidR="009B02E2">
        <w:t xml:space="preserve"> is under CUH IT.</w:t>
      </w:r>
      <w:r w:rsidR="0056354F">
        <w:t xml:space="preserve"> </w:t>
      </w:r>
      <w:r w:rsidR="009B02E2">
        <w:t xml:space="preserve">Approved </w:t>
      </w:r>
      <w:r w:rsidR="00B83798">
        <w:t>cloud storage may be used</w:t>
      </w:r>
      <w:r w:rsidR="00206B8B">
        <w:t xml:space="preserve">, please discuss with the data team. </w:t>
      </w:r>
      <w:r w:rsidR="002F785B">
        <w:t>The data must be stored in an encrypted and password</w:t>
      </w:r>
      <w:r>
        <w:t>-</w:t>
      </w:r>
      <w:r w:rsidR="002F785B">
        <w:t xml:space="preserve">protected folder, and only accessible to members of the care team. </w:t>
      </w:r>
      <w:r w:rsidR="0043304D">
        <w:t>Any pseudonymisation key must be stored separately and not leave CUH.</w:t>
      </w:r>
    </w:p>
    <w:p w14:paraId="23C6F948" w14:textId="704B744E" w:rsidR="0043304D" w:rsidRPr="007B5A3C" w:rsidRDefault="0043304D" w:rsidP="00E17EB2">
      <w:pPr>
        <w:jc w:val="both"/>
      </w:pPr>
      <w:r w:rsidRPr="007B5A3C">
        <w:t xml:space="preserve">Storage at </w:t>
      </w:r>
      <w:r w:rsidR="00FC25D3" w:rsidRPr="007B5A3C">
        <w:t xml:space="preserve">UoC </w:t>
      </w:r>
      <w:r w:rsidRPr="007B5A3C">
        <w:t xml:space="preserve">is currently only permissible at the </w:t>
      </w:r>
      <w:r w:rsidR="003C4EE4" w:rsidRPr="007B5A3C">
        <w:t>Secure Research Computer Platform (</w:t>
      </w:r>
      <w:hyperlink r:id="rId42" w:history="1">
        <w:r w:rsidRPr="007B5A3C">
          <w:rPr>
            <w:rStyle w:val="Hyperlink"/>
          </w:rPr>
          <w:t>SRCP</w:t>
        </w:r>
      </w:hyperlink>
      <w:r w:rsidR="003C4EE4" w:rsidRPr="007B5A3C">
        <w:t>)</w:t>
      </w:r>
      <w:r w:rsidRPr="007B5A3C">
        <w:t xml:space="preserve"> for data as the only ISO</w:t>
      </w:r>
      <w:r w:rsidR="003C4EE4" w:rsidRPr="007B5A3C">
        <w:t xml:space="preserve"> 27001</w:t>
      </w:r>
      <w:r w:rsidRPr="007B5A3C">
        <w:t xml:space="preserve"> certified location. Images may be stored at the </w:t>
      </w:r>
      <w:r w:rsidR="003C4EE4" w:rsidRPr="007B5A3C">
        <w:t>Research Data Store (</w:t>
      </w:r>
      <w:hyperlink r:id="rId43" w:history="1">
        <w:r w:rsidRPr="007B5A3C">
          <w:rPr>
            <w:rStyle w:val="Hyperlink"/>
          </w:rPr>
          <w:t>RDS</w:t>
        </w:r>
      </w:hyperlink>
      <w:r w:rsidR="003C4EE4" w:rsidRPr="007B5A3C">
        <w:t>)</w:t>
      </w:r>
      <w:r w:rsidRPr="007B5A3C">
        <w:t>, separate to the data</w:t>
      </w:r>
      <w:r w:rsidR="003C4EE4" w:rsidRPr="007B5A3C">
        <w:t>, with identifiers removed from images and metadata</w:t>
      </w:r>
      <w:r w:rsidRPr="007B5A3C">
        <w:t xml:space="preserve">. </w:t>
      </w:r>
    </w:p>
    <w:p w14:paraId="033328AA" w14:textId="042860BF" w:rsidR="00915BD9" w:rsidRDefault="00C17B33" w:rsidP="00E17EB2">
      <w:pPr>
        <w:jc w:val="both"/>
      </w:pPr>
      <w:r w:rsidRPr="007B5A3C">
        <w:t>Storage at other sites must be equivalent to NHS standards. If</w:t>
      </w:r>
      <w:r>
        <w:t xml:space="preserve"> a DSPT </w:t>
      </w:r>
      <w:r w:rsidR="003C4EE4">
        <w:t xml:space="preserve">compliance </w:t>
      </w:r>
      <w:r>
        <w:t xml:space="preserve">or an ISO 27001 certification cannot be confirmed, </w:t>
      </w:r>
      <w:r w:rsidR="00660065">
        <w:t xml:space="preserve">data storage standards can be discussed and confirmed on a </w:t>
      </w:r>
      <w:r w:rsidR="003C4EE4">
        <w:t>case-by-case</w:t>
      </w:r>
      <w:r w:rsidR="00660065">
        <w:t xml:space="preserve"> basis.</w:t>
      </w:r>
      <w:r w:rsidR="00B4388A">
        <w:t xml:space="preserve"> </w:t>
      </w:r>
      <w:r w:rsidR="00E439C1">
        <w:t xml:space="preserve">The data team may request further anonymisation </w:t>
      </w:r>
      <w:r w:rsidR="00955DD8">
        <w:t xml:space="preserve">to ensure data cannot be </w:t>
      </w:r>
      <w:r w:rsidR="00012CA2">
        <w:t>r</w:t>
      </w:r>
      <w:r w:rsidR="00955DD8">
        <w:t>e-identified</w:t>
      </w:r>
      <w:r w:rsidR="00206B8B">
        <w:t>.</w:t>
      </w:r>
    </w:p>
    <w:p w14:paraId="2546368F" w14:textId="1F3B215E" w:rsidR="00857617" w:rsidRDefault="00857617" w:rsidP="00E17EB2">
      <w:pPr>
        <w:jc w:val="both"/>
      </w:pPr>
      <w:r>
        <w:t xml:space="preserve">Storage </w:t>
      </w:r>
      <w:r w:rsidR="009449AB">
        <w:t xml:space="preserve">or access </w:t>
      </w:r>
      <w:r>
        <w:t xml:space="preserve">of any data that may be identifiable or not fully anonymised on any personal devices is not permitted. </w:t>
      </w:r>
    </w:p>
    <w:p w14:paraId="0AD53A1A" w14:textId="64E55F90" w:rsidR="00EC5551" w:rsidRDefault="00EC5551" w:rsidP="00E17EB2">
      <w:pPr>
        <w:jc w:val="both"/>
      </w:pPr>
    </w:p>
    <w:p w14:paraId="2283B32F" w14:textId="5BA9B529" w:rsidR="002D6557" w:rsidRPr="00455374" w:rsidRDefault="008C2A9F" w:rsidP="00E17EB2">
      <w:pPr>
        <w:pStyle w:val="Heading1"/>
        <w:jc w:val="both"/>
        <w:rPr>
          <w:rFonts w:ascii="Calibri" w:hAnsi="Calibri" w:cs="Calibri"/>
          <w:b/>
          <w:color w:val="auto"/>
          <w:sz w:val="28"/>
          <w:szCs w:val="40"/>
        </w:rPr>
      </w:pPr>
      <w:bookmarkStart w:id="26" w:name="_Toc204260187"/>
      <w:r w:rsidRPr="00455374">
        <w:rPr>
          <w:rFonts w:ascii="Calibri" w:hAnsi="Calibri" w:cs="Calibri"/>
          <w:b/>
          <w:color w:val="auto"/>
          <w:sz w:val="28"/>
          <w:szCs w:val="40"/>
        </w:rPr>
        <w:t>4</w:t>
      </w:r>
      <w:r w:rsidR="00EC5551" w:rsidRPr="00455374">
        <w:rPr>
          <w:rFonts w:ascii="Calibri" w:hAnsi="Calibri" w:cs="Calibri"/>
          <w:b/>
          <w:color w:val="auto"/>
          <w:sz w:val="28"/>
          <w:szCs w:val="40"/>
        </w:rPr>
        <w:t xml:space="preserve">. </w:t>
      </w:r>
      <w:r w:rsidR="002D6557" w:rsidRPr="00455374">
        <w:rPr>
          <w:rFonts w:ascii="Calibri" w:hAnsi="Calibri" w:cs="Calibri"/>
          <w:b/>
          <w:color w:val="auto"/>
          <w:sz w:val="28"/>
          <w:szCs w:val="40"/>
        </w:rPr>
        <w:t>After your study is approved</w:t>
      </w:r>
      <w:bookmarkEnd w:id="26"/>
    </w:p>
    <w:p w14:paraId="16A4910B" w14:textId="77777777" w:rsidR="0095144D" w:rsidRPr="0095144D" w:rsidRDefault="0095144D" w:rsidP="00E17EB2">
      <w:pPr>
        <w:jc w:val="both"/>
      </w:pPr>
    </w:p>
    <w:p w14:paraId="27095F04" w14:textId="1897C4C2" w:rsidR="001C7A67" w:rsidRPr="00455374" w:rsidRDefault="008C2A9F" w:rsidP="00E17EB2">
      <w:pPr>
        <w:pStyle w:val="Heading2"/>
        <w:jc w:val="both"/>
        <w:rPr>
          <w:rFonts w:ascii="Calibri" w:hAnsi="Calibri" w:cs="Calibri"/>
          <w:b/>
          <w:color w:val="auto"/>
          <w:sz w:val="24"/>
          <w:u w:val="single"/>
        </w:rPr>
      </w:pPr>
      <w:bookmarkStart w:id="27" w:name="_Toc204260188"/>
      <w:r w:rsidRPr="00455374">
        <w:rPr>
          <w:rFonts w:ascii="Calibri" w:hAnsi="Calibri" w:cs="Calibri"/>
          <w:b/>
          <w:color w:val="auto"/>
          <w:sz w:val="24"/>
          <w:szCs w:val="24"/>
          <w:u w:val="single"/>
        </w:rPr>
        <w:t xml:space="preserve">4.1 </w:t>
      </w:r>
      <w:r w:rsidR="001C7A67" w:rsidRPr="00455374">
        <w:rPr>
          <w:rFonts w:ascii="Calibri" w:hAnsi="Calibri" w:cs="Calibri"/>
          <w:b/>
          <w:color w:val="auto"/>
          <w:sz w:val="24"/>
          <w:szCs w:val="24"/>
          <w:u w:val="single"/>
        </w:rPr>
        <w:t>Amendments</w:t>
      </w:r>
      <w:bookmarkEnd w:id="27"/>
    </w:p>
    <w:p w14:paraId="203E62EA" w14:textId="77777777" w:rsidR="0095144D" w:rsidRPr="0095144D" w:rsidRDefault="0095144D" w:rsidP="00E17EB2">
      <w:pPr>
        <w:jc w:val="both"/>
      </w:pPr>
    </w:p>
    <w:p w14:paraId="3BCD3818" w14:textId="5DEE8082" w:rsidR="002262F3" w:rsidRPr="00E17EB2" w:rsidRDefault="00142FA0">
      <w:pPr>
        <w:jc w:val="both"/>
        <w:rPr>
          <w:rFonts w:cstheme="minorHAnsi"/>
        </w:rPr>
      </w:pPr>
      <w:r w:rsidRPr="00E17EB2">
        <w:rPr>
          <w:rFonts w:cstheme="minorHAnsi"/>
        </w:rPr>
        <w:t xml:space="preserve">Please discuss any </w:t>
      </w:r>
      <w:r w:rsidR="002262F3" w:rsidRPr="00E17EB2">
        <w:rPr>
          <w:rFonts w:cstheme="minorHAnsi"/>
        </w:rPr>
        <w:t xml:space="preserve">amendments to the approved </w:t>
      </w:r>
      <w:r w:rsidR="000413AD" w:rsidRPr="00E17EB2">
        <w:rPr>
          <w:rFonts w:cstheme="minorHAnsi"/>
        </w:rPr>
        <w:t>application</w:t>
      </w:r>
      <w:r w:rsidR="002262F3" w:rsidRPr="00E17EB2">
        <w:rPr>
          <w:rFonts w:cstheme="minorHAnsi"/>
        </w:rPr>
        <w:t xml:space="preserve"> with </w:t>
      </w:r>
      <w:r w:rsidRPr="00E17EB2">
        <w:rPr>
          <w:rFonts w:cstheme="minorHAnsi"/>
        </w:rPr>
        <w:t>the data team</w:t>
      </w:r>
      <w:r w:rsidR="000413AD" w:rsidRPr="00E17EB2">
        <w:rPr>
          <w:rFonts w:cstheme="minorHAnsi"/>
        </w:rPr>
        <w:t xml:space="preserve"> </w:t>
      </w:r>
      <w:r w:rsidR="002262F3" w:rsidRPr="00E17EB2">
        <w:rPr>
          <w:rFonts w:cstheme="minorHAnsi"/>
        </w:rPr>
        <w:t xml:space="preserve">who will advise on any approvals needed. </w:t>
      </w:r>
      <w:r w:rsidR="005E4A39" w:rsidRPr="00E17EB2">
        <w:rPr>
          <w:rFonts w:cstheme="minorHAnsi"/>
        </w:rPr>
        <w:t xml:space="preserve"> </w:t>
      </w:r>
      <w:r w:rsidRPr="00E17EB2">
        <w:rPr>
          <w:rFonts w:cstheme="minorHAnsi"/>
        </w:rPr>
        <w:t>The DAC may need to review any c</w:t>
      </w:r>
      <w:r w:rsidR="005E4A39" w:rsidRPr="00E17EB2">
        <w:rPr>
          <w:rFonts w:cstheme="minorHAnsi"/>
        </w:rPr>
        <w:t>hanges to dataset, study end date, patient cohort or patient numbers.</w:t>
      </w:r>
    </w:p>
    <w:p w14:paraId="2D68D1EF" w14:textId="0F8661E4" w:rsidR="00EC5551" w:rsidRDefault="00EC5551">
      <w:pPr>
        <w:jc w:val="both"/>
        <w:rPr>
          <w:rFonts w:ascii="Calibri" w:hAnsi="Calibri" w:cs="Calibri"/>
        </w:rPr>
      </w:pPr>
    </w:p>
    <w:p w14:paraId="444B0CB5" w14:textId="43399A28" w:rsidR="001C7A67" w:rsidRPr="00E803ED" w:rsidRDefault="008C2A9F" w:rsidP="00E17EB2">
      <w:pPr>
        <w:pStyle w:val="Heading2"/>
        <w:jc w:val="both"/>
        <w:rPr>
          <w:rFonts w:ascii="Calibri" w:hAnsi="Calibri" w:cs="Calibri"/>
          <w:b/>
          <w:color w:val="auto"/>
          <w:sz w:val="22"/>
          <w:u w:val="single"/>
        </w:rPr>
      </w:pPr>
      <w:bookmarkStart w:id="28" w:name="_Toc204260189"/>
      <w:r w:rsidRPr="00455374">
        <w:rPr>
          <w:rFonts w:ascii="Calibri" w:hAnsi="Calibri" w:cs="Calibri"/>
          <w:b/>
          <w:color w:val="auto"/>
          <w:sz w:val="24"/>
          <w:szCs w:val="28"/>
          <w:u w:val="single"/>
        </w:rPr>
        <w:t xml:space="preserve">4.2 </w:t>
      </w:r>
      <w:r w:rsidR="001C7A67" w:rsidRPr="00455374">
        <w:rPr>
          <w:rFonts w:ascii="Calibri" w:hAnsi="Calibri" w:cs="Calibri"/>
          <w:b/>
          <w:color w:val="auto"/>
          <w:sz w:val="24"/>
          <w:szCs w:val="28"/>
          <w:u w:val="single"/>
        </w:rPr>
        <w:t>C</w:t>
      </w:r>
      <w:r w:rsidR="0037485B" w:rsidRPr="00455374">
        <w:rPr>
          <w:rFonts w:ascii="Calibri" w:hAnsi="Calibri" w:cs="Calibri"/>
          <w:b/>
          <w:color w:val="auto"/>
          <w:sz w:val="24"/>
          <w:szCs w:val="28"/>
          <w:u w:val="single"/>
        </w:rPr>
        <w:t>ommunication</w:t>
      </w:r>
      <w:r w:rsidR="001661DF" w:rsidRPr="00455374">
        <w:rPr>
          <w:rFonts w:ascii="Calibri" w:hAnsi="Calibri" w:cs="Calibri"/>
          <w:b/>
          <w:color w:val="auto"/>
          <w:sz w:val="24"/>
          <w:szCs w:val="28"/>
          <w:u w:val="single"/>
        </w:rPr>
        <w:t xml:space="preserve"> and dissemination</w:t>
      </w:r>
      <w:bookmarkEnd w:id="28"/>
      <w:r w:rsidR="001661DF" w:rsidRPr="00455374">
        <w:rPr>
          <w:rFonts w:ascii="Calibri" w:hAnsi="Calibri" w:cs="Calibri"/>
          <w:b/>
          <w:color w:val="auto"/>
          <w:sz w:val="24"/>
          <w:szCs w:val="28"/>
          <w:u w:val="single"/>
        </w:rPr>
        <w:t xml:space="preserve"> </w:t>
      </w:r>
    </w:p>
    <w:p w14:paraId="14AC35C2" w14:textId="77777777" w:rsidR="0095144D" w:rsidRPr="0095144D" w:rsidRDefault="0095144D">
      <w:pPr>
        <w:jc w:val="both"/>
      </w:pPr>
    </w:p>
    <w:p w14:paraId="365F3141" w14:textId="23A21317" w:rsidR="0037485B" w:rsidRPr="00E17EB2" w:rsidRDefault="00142FA0">
      <w:pPr>
        <w:jc w:val="both"/>
        <w:rPr>
          <w:rFonts w:cstheme="minorHAnsi"/>
        </w:rPr>
      </w:pPr>
      <w:r w:rsidRPr="00E17EB2">
        <w:rPr>
          <w:rFonts w:cstheme="minorHAnsi"/>
        </w:rPr>
        <w:t xml:space="preserve">The data team will add </w:t>
      </w:r>
      <w:r w:rsidR="007E1245" w:rsidRPr="00E17EB2">
        <w:rPr>
          <w:rFonts w:cstheme="minorHAnsi"/>
        </w:rPr>
        <w:t>b</w:t>
      </w:r>
      <w:r w:rsidR="00635CFF" w:rsidRPr="00E17EB2">
        <w:rPr>
          <w:rFonts w:cstheme="minorHAnsi"/>
        </w:rPr>
        <w:t>asic information about your study to a list of approved studies on the</w:t>
      </w:r>
      <w:r w:rsidR="00963309" w:rsidRPr="00E17EB2">
        <w:rPr>
          <w:rFonts w:cstheme="minorHAnsi"/>
        </w:rPr>
        <w:t xml:space="preserve"> </w:t>
      </w:r>
      <w:r w:rsidR="00E56CEC" w:rsidRPr="00E17EB2">
        <w:rPr>
          <w:rFonts w:cstheme="minorHAnsi"/>
        </w:rPr>
        <w:t>National Institute for Health and Care Research (</w:t>
      </w:r>
      <w:r w:rsidR="00963309" w:rsidRPr="00E17EB2">
        <w:rPr>
          <w:rFonts w:cstheme="minorHAnsi"/>
        </w:rPr>
        <w:t>NIHR</w:t>
      </w:r>
      <w:r w:rsidR="00E56CEC" w:rsidRPr="00E17EB2">
        <w:rPr>
          <w:rFonts w:cstheme="minorHAnsi"/>
        </w:rPr>
        <w:t>)</w:t>
      </w:r>
      <w:r w:rsidR="00963309" w:rsidRPr="00E17EB2">
        <w:rPr>
          <w:rFonts w:cstheme="minorHAnsi"/>
        </w:rPr>
        <w:t xml:space="preserve"> Cambridge</w:t>
      </w:r>
      <w:r w:rsidR="00635CFF" w:rsidRPr="00E17EB2">
        <w:rPr>
          <w:rFonts w:cstheme="minorHAnsi"/>
        </w:rPr>
        <w:t xml:space="preserve"> </w:t>
      </w:r>
      <w:r w:rsidR="00474644" w:rsidRPr="00E17EB2">
        <w:rPr>
          <w:rFonts w:cstheme="minorHAnsi"/>
        </w:rPr>
        <w:t>Biomedical Research Centre (</w:t>
      </w:r>
      <w:r w:rsidR="00635CFF" w:rsidRPr="00E17EB2">
        <w:rPr>
          <w:rFonts w:cstheme="minorHAnsi"/>
        </w:rPr>
        <w:t>BRC</w:t>
      </w:r>
      <w:r w:rsidR="00474644" w:rsidRPr="00E17EB2">
        <w:rPr>
          <w:rFonts w:cstheme="minorHAnsi"/>
        </w:rPr>
        <w:t>)</w:t>
      </w:r>
      <w:r w:rsidR="00635CFF" w:rsidRPr="00E17EB2">
        <w:rPr>
          <w:rFonts w:cstheme="minorHAnsi"/>
        </w:rPr>
        <w:t xml:space="preserve"> website</w:t>
      </w:r>
      <w:r w:rsidR="00D715AF" w:rsidRPr="00E17EB2">
        <w:rPr>
          <w:rFonts w:cstheme="minorHAnsi"/>
        </w:rPr>
        <w:t xml:space="preserve">, found </w:t>
      </w:r>
      <w:hyperlink r:id="rId44" w:history="1">
        <w:r w:rsidR="00D715AF" w:rsidRPr="00E17EB2">
          <w:rPr>
            <w:rStyle w:val="Hyperlink"/>
            <w:rFonts w:cstheme="minorHAnsi"/>
          </w:rPr>
          <w:t>here</w:t>
        </w:r>
      </w:hyperlink>
      <w:r w:rsidR="00635CFF" w:rsidRPr="00E17EB2">
        <w:rPr>
          <w:rFonts w:cstheme="minorHAnsi"/>
        </w:rPr>
        <w:t>.</w:t>
      </w:r>
      <w:r w:rsidR="00464152" w:rsidRPr="00E17EB2">
        <w:rPr>
          <w:rFonts w:cstheme="minorHAnsi"/>
        </w:rPr>
        <w:t xml:space="preserve"> </w:t>
      </w:r>
      <w:r w:rsidR="00635CFF" w:rsidRPr="00E17EB2">
        <w:rPr>
          <w:rFonts w:cstheme="minorHAnsi"/>
        </w:rPr>
        <w:t xml:space="preserve">R&amp;D can also assist with publicising study results at the end of the study. </w:t>
      </w:r>
      <w:r w:rsidR="00285CF2" w:rsidRPr="00E17EB2">
        <w:rPr>
          <w:rFonts w:cstheme="minorHAnsi"/>
        </w:rPr>
        <w:t xml:space="preserve">Please ensure that any press releases for the study are checked with </w:t>
      </w:r>
      <w:r w:rsidRPr="00E17EB2">
        <w:rPr>
          <w:rFonts w:cstheme="minorHAnsi"/>
        </w:rPr>
        <w:t>the data team</w:t>
      </w:r>
      <w:r w:rsidR="00285CF2" w:rsidRPr="00E17EB2">
        <w:rPr>
          <w:rFonts w:cstheme="minorHAnsi"/>
        </w:rPr>
        <w:t xml:space="preserve">. </w:t>
      </w:r>
    </w:p>
    <w:p w14:paraId="20622135" w14:textId="1BC32E41" w:rsidR="007007ED" w:rsidRPr="00E17EB2" w:rsidRDefault="007007ED">
      <w:pPr>
        <w:jc w:val="both"/>
        <w:rPr>
          <w:rFonts w:cstheme="minorHAnsi"/>
        </w:rPr>
      </w:pPr>
      <w:r w:rsidRPr="00E17EB2">
        <w:rPr>
          <w:rFonts w:cstheme="minorHAnsi"/>
        </w:rPr>
        <w:t xml:space="preserve">Results derived from unconsented anonymised data should be </w:t>
      </w:r>
      <w:r w:rsidR="00750406" w:rsidRPr="00E17EB2">
        <w:rPr>
          <w:rFonts w:cstheme="minorHAnsi"/>
        </w:rPr>
        <w:t>published in an aggregated form such as summary statistics or similar. More info</w:t>
      </w:r>
      <w:r w:rsidR="006546D2" w:rsidRPr="00E17EB2">
        <w:rPr>
          <w:rFonts w:cstheme="minorHAnsi"/>
        </w:rPr>
        <w:t xml:space="preserve">rmation </w:t>
      </w:r>
      <w:r w:rsidR="00142FA0" w:rsidRPr="00E17EB2">
        <w:rPr>
          <w:rFonts w:cstheme="minorHAnsi"/>
        </w:rPr>
        <w:t>is available</w:t>
      </w:r>
      <w:r w:rsidR="006546D2" w:rsidRPr="00E17EB2">
        <w:rPr>
          <w:rFonts w:cstheme="minorHAnsi"/>
        </w:rPr>
        <w:t xml:space="preserve"> on the ICO guidance for anonymisation.</w:t>
      </w:r>
    </w:p>
    <w:p w14:paraId="22AD4181" w14:textId="34E5320A" w:rsidR="00EC5551" w:rsidRPr="00E17EB2" w:rsidRDefault="007E1245">
      <w:pPr>
        <w:jc w:val="both"/>
        <w:rPr>
          <w:rFonts w:cstheme="minorHAnsi"/>
        </w:rPr>
      </w:pPr>
      <w:r w:rsidRPr="00E17EB2">
        <w:rPr>
          <w:rFonts w:cstheme="minorHAnsi"/>
        </w:rPr>
        <w:lastRenderedPageBreak/>
        <w:t>Please notify and discuss any</w:t>
      </w:r>
      <w:r w:rsidR="00D715AF" w:rsidRPr="00E17EB2">
        <w:rPr>
          <w:rFonts w:cstheme="minorHAnsi"/>
        </w:rPr>
        <w:t xml:space="preserve"> data requests from other researchers as a result of publication with the data team.</w:t>
      </w:r>
    </w:p>
    <w:p w14:paraId="501FD416" w14:textId="77777777" w:rsidR="00EC5551" w:rsidRDefault="00EC5551">
      <w:pPr>
        <w:jc w:val="both"/>
        <w:rPr>
          <w:rFonts w:ascii="Calibri" w:hAnsi="Calibri" w:cs="Calibri"/>
        </w:rPr>
      </w:pPr>
    </w:p>
    <w:p w14:paraId="17A9A658" w14:textId="2AF13FAD" w:rsidR="00E649E2" w:rsidRPr="00455374" w:rsidRDefault="008C2A9F" w:rsidP="00E17EB2">
      <w:pPr>
        <w:pStyle w:val="Heading2"/>
        <w:jc w:val="both"/>
        <w:rPr>
          <w:rFonts w:ascii="Calibri" w:hAnsi="Calibri" w:cs="Calibri"/>
          <w:b/>
          <w:color w:val="auto"/>
          <w:sz w:val="24"/>
          <w:szCs w:val="28"/>
          <w:u w:val="single"/>
        </w:rPr>
      </w:pPr>
      <w:bookmarkStart w:id="29" w:name="_Toc204260190"/>
      <w:r w:rsidRPr="00455374">
        <w:rPr>
          <w:rFonts w:ascii="Calibri" w:hAnsi="Calibri" w:cs="Calibri"/>
          <w:b/>
          <w:color w:val="auto"/>
          <w:sz w:val="24"/>
          <w:szCs w:val="28"/>
          <w:u w:val="single"/>
        </w:rPr>
        <w:t xml:space="preserve">4.3 </w:t>
      </w:r>
      <w:r w:rsidR="00CC347C" w:rsidRPr="00455374">
        <w:rPr>
          <w:rFonts w:ascii="Calibri" w:hAnsi="Calibri" w:cs="Calibri"/>
          <w:b/>
          <w:color w:val="auto"/>
          <w:sz w:val="24"/>
          <w:szCs w:val="28"/>
          <w:u w:val="single"/>
        </w:rPr>
        <w:t>End of Study</w:t>
      </w:r>
      <w:bookmarkEnd w:id="29"/>
    </w:p>
    <w:p w14:paraId="17DE1A33" w14:textId="77777777" w:rsidR="0095144D" w:rsidRPr="0095144D" w:rsidRDefault="0095144D">
      <w:pPr>
        <w:jc w:val="both"/>
      </w:pPr>
    </w:p>
    <w:p w14:paraId="2DB3E08E" w14:textId="312C2437" w:rsidR="0076070D" w:rsidRDefault="00635CFF">
      <w:pPr>
        <w:jc w:val="both"/>
      </w:pPr>
      <w:r>
        <w:rPr>
          <w:rFonts w:ascii="Calibri" w:hAnsi="Calibri" w:cs="Calibri"/>
        </w:rPr>
        <w:t xml:space="preserve">Please notify </w:t>
      </w:r>
      <w:r w:rsidR="007E1245">
        <w:rPr>
          <w:rFonts w:ascii="Calibri" w:hAnsi="Calibri" w:cs="Calibri"/>
        </w:rPr>
        <w:t>the data team</w:t>
      </w:r>
      <w:r>
        <w:rPr>
          <w:rFonts w:ascii="Calibri" w:hAnsi="Calibri" w:cs="Calibri"/>
        </w:rPr>
        <w:t xml:space="preserve"> when the study is completed. </w:t>
      </w:r>
      <w:r w:rsidR="007E1245">
        <w:rPr>
          <w:rFonts w:ascii="Calibri" w:hAnsi="Calibri" w:cs="Calibri"/>
        </w:rPr>
        <w:t>The data team</w:t>
      </w:r>
      <w:r>
        <w:rPr>
          <w:rFonts w:ascii="Calibri" w:hAnsi="Calibri" w:cs="Calibri"/>
        </w:rPr>
        <w:t xml:space="preserve"> will advise on anything</w:t>
      </w:r>
      <w:r w:rsidR="007E1245">
        <w:rPr>
          <w:rFonts w:ascii="Calibri" w:hAnsi="Calibri" w:cs="Calibri"/>
        </w:rPr>
        <w:t xml:space="preserve"> that</w:t>
      </w:r>
      <w:r>
        <w:rPr>
          <w:rFonts w:ascii="Calibri" w:hAnsi="Calibri" w:cs="Calibri"/>
        </w:rPr>
        <w:t xml:space="preserve"> you may need to do to close the study.</w:t>
      </w:r>
      <w:r w:rsidR="00770536">
        <w:t xml:space="preserve"> </w:t>
      </w:r>
      <w:r w:rsidR="009449AB">
        <w:t>After the study is complete, the data should be stored and archived as per the</w:t>
      </w:r>
      <w:r w:rsidR="00770536">
        <w:t xml:space="preserve"> retention period in the</w:t>
      </w:r>
      <w:r w:rsidR="009449AB">
        <w:t xml:space="preserve"> approved </w:t>
      </w:r>
      <w:r w:rsidR="00770536">
        <w:t>study documentation</w:t>
      </w:r>
      <w:r w:rsidR="009449AB">
        <w:t>. Generally, we request that data is stored</w:t>
      </w:r>
      <w:r w:rsidR="00CC347C">
        <w:t>/archived</w:t>
      </w:r>
      <w:r w:rsidR="009449AB">
        <w:t xml:space="preserve"> up to 5 years</w:t>
      </w:r>
      <w:r w:rsidR="00FB11E4">
        <w:t xml:space="preserve"> </w:t>
      </w:r>
      <w:r w:rsidR="009449AB">
        <w:t xml:space="preserve">and then destroyed. </w:t>
      </w:r>
    </w:p>
    <w:p w14:paraId="6453BB3A" w14:textId="6FA0FA10" w:rsidR="009449AB" w:rsidRPr="0056354F" w:rsidRDefault="009449AB">
      <w:pPr>
        <w:jc w:val="both"/>
      </w:pPr>
      <w:r>
        <w:t xml:space="preserve">A justification for longer periods </w:t>
      </w:r>
      <w:r w:rsidR="00CC347C">
        <w:t>may</w:t>
      </w:r>
      <w:r>
        <w:t xml:space="preserve"> be requested and considered.</w:t>
      </w:r>
      <w:r w:rsidR="0076070D">
        <w:t xml:space="preserve"> </w:t>
      </w:r>
    </w:p>
    <w:p w14:paraId="3531362B" w14:textId="7F23BC35" w:rsidR="00EE186C" w:rsidRDefault="00EE186C" w:rsidP="00E17EB2">
      <w:pPr>
        <w:jc w:val="both"/>
        <w:rPr>
          <w:rFonts w:ascii="Calibri" w:hAnsi="Calibri" w:cs="Calibri"/>
        </w:rPr>
      </w:pPr>
    </w:p>
    <w:p w14:paraId="27586FDF" w14:textId="06DD8241" w:rsidR="00EC5551" w:rsidRDefault="00E17EB2" w:rsidP="00E17EB2">
      <w:pPr>
        <w:rPr>
          <w:rFonts w:ascii="Calibri" w:hAnsi="Calibri" w:cs="Calibri"/>
        </w:rPr>
      </w:pPr>
      <w:r>
        <w:rPr>
          <w:rFonts w:ascii="Calibri" w:hAnsi="Calibri" w:cs="Calibri"/>
        </w:rPr>
        <w:br w:type="page"/>
      </w:r>
    </w:p>
    <w:p w14:paraId="5FE6035C" w14:textId="2E4BF217" w:rsidR="0085600B" w:rsidRPr="00455374" w:rsidRDefault="0085600B" w:rsidP="00E17EB2">
      <w:pPr>
        <w:pStyle w:val="Heading1"/>
        <w:jc w:val="both"/>
        <w:rPr>
          <w:rFonts w:ascii="Calibri" w:hAnsi="Calibri" w:cs="Calibri"/>
          <w:b/>
          <w:color w:val="auto"/>
          <w:sz w:val="28"/>
          <w:szCs w:val="40"/>
        </w:rPr>
      </w:pPr>
      <w:bookmarkStart w:id="30" w:name="_Toc204260191"/>
      <w:r w:rsidRPr="00455374">
        <w:rPr>
          <w:rFonts w:ascii="Calibri" w:hAnsi="Calibri" w:cs="Calibri"/>
          <w:b/>
          <w:color w:val="auto"/>
          <w:sz w:val="28"/>
          <w:szCs w:val="40"/>
        </w:rPr>
        <w:lastRenderedPageBreak/>
        <w:t>List of definitions</w:t>
      </w:r>
      <w:bookmarkEnd w:id="30"/>
    </w:p>
    <w:p w14:paraId="161BCF9E" w14:textId="77777777" w:rsidR="0085600B" w:rsidRDefault="0085600B" w:rsidP="00E17EB2">
      <w:pPr>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074"/>
        <w:gridCol w:w="6942"/>
      </w:tblGrid>
      <w:tr w:rsidR="0085600B" w14:paraId="436A80B3" w14:textId="77777777" w:rsidTr="00AE472C">
        <w:trPr>
          <w:trHeight w:val="469"/>
        </w:trPr>
        <w:tc>
          <w:tcPr>
            <w:tcW w:w="0" w:type="auto"/>
            <w:shd w:val="clear" w:color="auto" w:fill="0AB6EC"/>
          </w:tcPr>
          <w:p w14:paraId="43F8A927" w14:textId="77777777" w:rsidR="0085600B" w:rsidRPr="00BC2770" w:rsidRDefault="0085600B" w:rsidP="00E17EB2">
            <w:pPr>
              <w:jc w:val="both"/>
              <w:rPr>
                <w:color w:val="FFFFFF" w:themeColor="background1"/>
              </w:rPr>
            </w:pPr>
            <w:r w:rsidRPr="00BC2770">
              <w:rPr>
                <w:color w:val="FFFFFF" w:themeColor="background1"/>
              </w:rPr>
              <w:t>Term</w:t>
            </w:r>
          </w:p>
        </w:tc>
        <w:tc>
          <w:tcPr>
            <w:tcW w:w="0" w:type="auto"/>
            <w:shd w:val="clear" w:color="auto" w:fill="0AB6EC"/>
          </w:tcPr>
          <w:p w14:paraId="357E2552" w14:textId="77777777" w:rsidR="0085600B" w:rsidRPr="00BC2770" w:rsidRDefault="0085600B" w:rsidP="00E17EB2">
            <w:pPr>
              <w:jc w:val="both"/>
              <w:rPr>
                <w:color w:val="FFFFFF" w:themeColor="background1"/>
              </w:rPr>
            </w:pPr>
            <w:r w:rsidRPr="00BC2770">
              <w:rPr>
                <w:color w:val="FFFFFF" w:themeColor="background1"/>
              </w:rPr>
              <w:t xml:space="preserve">Definition </w:t>
            </w:r>
          </w:p>
        </w:tc>
      </w:tr>
      <w:tr w:rsidR="0085600B" w14:paraId="60C26011" w14:textId="77777777" w:rsidTr="00AE472C">
        <w:tc>
          <w:tcPr>
            <w:tcW w:w="0" w:type="auto"/>
            <w:vAlign w:val="center"/>
          </w:tcPr>
          <w:p w14:paraId="67D8188F" w14:textId="77777777" w:rsidR="0085600B" w:rsidRDefault="0085600B" w:rsidP="00E17EB2">
            <w:pPr>
              <w:jc w:val="both"/>
            </w:pPr>
            <w:r>
              <w:t>Generalisable</w:t>
            </w:r>
          </w:p>
        </w:tc>
        <w:tc>
          <w:tcPr>
            <w:tcW w:w="0" w:type="auto"/>
            <w:vAlign w:val="center"/>
          </w:tcPr>
          <w:p w14:paraId="6833155E" w14:textId="77777777" w:rsidR="0085600B" w:rsidRDefault="0085600B" w:rsidP="00E17EB2">
            <w:pPr>
              <w:jc w:val="both"/>
            </w:pPr>
          </w:p>
          <w:p w14:paraId="0AC794D0" w14:textId="77777777" w:rsidR="0085600B" w:rsidRDefault="0085600B" w:rsidP="00E17EB2">
            <w:pPr>
              <w:jc w:val="both"/>
            </w:pPr>
            <w:r>
              <w:t>Defined by the HRA as:</w:t>
            </w:r>
          </w:p>
          <w:p w14:paraId="25A4A4FD" w14:textId="77777777" w:rsidR="0085600B" w:rsidRDefault="0085600B" w:rsidP="00E17EB2">
            <w:pPr>
              <w:jc w:val="both"/>
            </w:pPr>
          </w:p>
          <w:p w14:paraId="385A44F1" w14:textId="77777777" w:rsidR="0085600B" w:rsidRDefault="0085600B" w:rsidP="00E17EB2">
            <w:pPr>
              <w:jc w:val="both"/>
            </w:pPr>
            <w:r w:rsidRPr="005C7B3C">
              <w:t>“Generalisable in this context means the findings can be reliably extrapolated from the study to a broader population of patients/service users and/or applied to settings or contexts other than t</w:t>
            </w:r>
            <w:r>
              <w:t>hose in which they were tested”</w:t>
            </w:r>
          </w:p>
          <w:p w14:paraId="7A13B2E1" w14:textId="77777777" w:rsidR="0085600B" w:rsidRDefault="0085600B" w:rsidP="00E17EB2">
            <w:pPr>
              <w:jc w:val="both"/>
            </w:pPr>
          </w:p>
        </w:tc>
      </w:tr>
      <w:tr w:rsidR="0085600B" w14:paraId="793D328E" w14:textId="77777777" w:rsidTr="00AE472C">
        <w:tc>
          <w:tcPr>
            <w:tcW w:w="0" w:type="auto"/>
            <w:vAlign w:val="center"/>
          </w:tcPr>
          <w:p w14:paraId="1BEC4F9C" w14:textId="77777777" w:rsidR="0085600B" w:rsidRDefault="0085600B" w:rsidP="00E17EB2">
            <w:pPr>
              <w:jc w:val="both"/>
            </w:pPr>
            <w:r>
              <w:t>Research</w:t>
            </w:r>
          </w:p>
        </w:tc>
        <w:tc>
          <w:tcPr>
            <w:tcW w:w="0" w:type="auto"/>
            <w:vAlign w:val="center"/>
          </w:tcPr>
          <w:p w14:paraId="53B6C892" w14:textId="77777777" w:rsidR="0085600B" w:rsidRDefault="0085600B" w:rsidP="00E17EB2">
            <w:pPr>
              <w:jc w:val="both"/>
            </w:pPr>
          </w:p>
          <w:p w14:paraId="26396C05" w14:textId="77777777" w:rsidR="0085600B" w:rsidRDefault="0085600B" w:rsidP="00E17EB2">
            <w:pPr>
              <w:jc w:val="both"/>
            </w:pPr>
            <w:r>
              <w:t>Defined by the HRA as:</w:t>
            </w:r>
          </w:p>
          <w:p w14:paraId="03F1D3A3" w14:textId="77777777" w:rsidR="0085600B" w:rsidRDefault="0085600B" w:rsidP="00E17EB2">
            <w:pPr>
              <w:jc w:val="both"/>
            </w:pPr>
          </w:p>
          <w:p w14:paraId="6F50C331" w14:textId="77777777" w:rsidR="0085600B" w:rsidRDefault="0085600B" w:rsidP="00E17EB2">
            <w:pPr>
              <w:jc w:val="both"/>
            </w:pPr>
            <w:r w:rsidRPr="005C7B3C">
              <w:t>“The attempt to derive generalisable or transferable new knowledge to answer questions with scientifically sound methods including studies that aim to generate hypotheses as well as studies that aim to test them, in addition</w:t>
            </w:r>
            <w:r>
              <w:t xml:space="preserve"> to simply descriptive studies”</w:t>
            </w:r>
          </w:p>
          <w:p w14:paraId="085D2ABC" w14:textId="77777777" w:rsidR="0085600B" w:rsidRDefault="0085600B" w:rsidP="00E17EB2">
            <w:pPr>
              <w:jc w:val="both"/>
            </w:pPr>
          </w:p>
        </w:tc>
      </w:tr>
      <w:tr w:rsidR="0085600B" w14:paraId="6F2A4B20" w14:textId="77777777" w:rsidTr="00AE472C">
        <w:tc>
          <w:tcPr>
            <w:tcW w:w="0" w:type="auto"/>
            <w:vAlign w:val="center"/>
          </w:tcPr>
          <w:p w14:paraId="3BC95DA2" w14:textId="77777777" w:rsidR="0085600B" w:rsidRDefault="0085600B" w:rsidP="00E17EB2">
            <w:pPr>
              <w:jc w:val="both"/>
            </w:pPr>
            <w:r>
              <w:t>Personal data</w:t>
            </w:r>
          </w:p>
        </w:tc>
        <w:tc>
          <w:tcPr>
            <w:tcW w:w="0" w:type="auto"/>
            <w:vAlign w:val="center"/>
          </w:tcPr>
          <w:p w14:paraId="3719E6FE" w14:textId="77777777" w:rsidR="0085600B" w:rsidRDefault="0085600B" w:rsidP="00E17EB2">
            <w:pPr>
              <w:jc w:val="both"/>
            </w:pPr>
          </w:p>
          <w:p w14:paraId="77BF81A0" w14:textId="77777777" w:rsidR="0085600B" w:rsidRDefault="0085600B" w:rsidP="00E17EB2">
            <w:pPr>
              <w:jc w:val="both"/>
            </w:pPr>
            <w:r>
              <w:t xml:space="preserve">Defined in DPA 2018 as: </w:t>
            </w:r>
          </w:p>
          <w:p w14:paraId="08DCD1C9" w14:textId="77777777" w:rsidR="0085600B" w:rsidRDefault="0085600B" w:rsidP="00E17EB2">
            <w:pPr>
              <w:jc w:val="both"/>
            </w:pPr>
          </w:p>
          <w:p w14:paraId="1A68CCD6" w14:textId="77777777" w:rsidR="0085600B" w:rsidRDefault="0085600B" w:rsidP="00E17EB2">
            <w:pPr>
              <w:jc w:val="both"/>
            </w:pPr>
            <w:r>
              <w:t>“</w:t>
            </w:r>
            <w:r w:rsidRPr="005C7B3C">
              <w:t>data which relates to an identified or identifiable natural person</w:t>
            </w:r>
            <w:r>
              <w:t xml:space="preserve">” </w:t>
            </w:r>
          </w:p>
          <w:p w14:paraId="4186E5CA" w14:textId="77777777" w:rsidR="0085600B" w:rsidRDefault="0085600B" w:rsidP="00E17EB2">
            <w:pPr>
              <w:jc w:val="both"/>
            </w:pPr>
          </w:p>
        </w:tc>
      </w:tr>
      <w:tr w:rsidR="0085600B" w14:paraId="539639E2" w14:textId="77777777" w:rsidTr="00AE472C">
        <w:tc>
          <w:tcPr>
            <w:tcW w:w="0" w:type="auto"/>
            <w:vAlign w:val="center"/>
          </w:tcPr>
          <w:p w14:paraId="4490F52C" w14:textId="77777777" w:rsidR="0085600B" w:rsidRDefault="0085600B" w:rsidP="00E17EB2">
            <w:pPr>
              <w:jc w:val="both"/>
            </w:pPr>
            <w:r>
              <w:t>Anonymous data</w:t>
            </w:r>
          </w:p>
        </w:tc>
        <w:tc>
          <w:tcPr>
            <w:tcW w:w="0" w:type="auto"/>
            <w:vAlign w:val="center"/>
          </w:tcPr>
          <w:p w14:paraId="081A7E37" w14:textId="77777777" w:rsidR="0085600B" w:rsidRDefault="0085600B" w:rsidP="00E17EB2">
            <w:pPr>
              <w:jc w:val="both"/>
            </w:pPr>
          </w:p>
          <w:p w14:paraId="7B68C6AA" w14:textId="77777777" w:rsidR="0085600B" w:rsidRDefault="0085600B" w:rsidP="00E17EB2">
            <w:pPr>
              <w:jc w:val="both"/>
            </w:pPr>
            <w:r>
              <w:t>Defined in DPA 2018 as:</w:t>
            </w:r>
          </w:p>
          <w:p w14:paraId="7D9A5AEB" w14:textId="77777777" w:rsidR="0085600B" w:rsidRDefault="0085600B" w:rsidP="00E17EB2">
            <w:pPr>
              <w:jc w:val="both"/>
            </w:pPr>
          </w:p>
          <w:p w14:paraId="259EF09E" w14:textId="0EC469C5" w:rsidR="0085600B" w:rsidRDefault="0085600B" w:rsidP="00E17EB2">
            <w:pPr>
              <w:jc w:val="both"/>
            </w:pPr>
            <w:r>
              <w:t>“</w:t>
            </w:r>
            <w:r w:rsidR="0090495A" w:rsidRPr="005E2757">
              <w:t>Data</w:t>
            </w:r>
            <w:r w:rsidRPr="005E2757">
              <w:t xml:space="preserve"> that does not relate to an identified or identifiable individual.</w:t>
            </w:r>
            <w:r>
              <w:t>”</w:t>
            </w:r>
          </w:p>
          <w:p w14:paraId="5D81B1FE" w14:textId="77777777" w:rsidR="0085600B" w:rsidRDefault="0085600B" w:rsidP="00E17EB2">
            <w:pPr>
              <w:jc w:val="both"/>
            </w:pPr>
          </w:p>
        </w:tc>
      </w:tr>
      <w:tr w:rsidR="0085600B" w14:paraId="2054F425" w14:textId="77777777" w:rsidTr="00AE472C">
        <w:tc>
          <w:tcPr>
            <w:tcW w:w="0" w:type="auto"/>
            <w:vAlign w:val="center"/>
          </w:tcPr>
          <w:p w14:paraId="4537806C" w14:textId="62558EF6" w:rsidR="0085600B" w:rsidRDefault="0085600B" w:rsidP="00E17EB2">
            <w:pPr>
              <w:jc w:val="both"/>
            </w:pPr>
            <w:r>
              <w:t>Anonymisation</w:t>
            </w:r>
          </w:p>
        </w:tc>
        <w:tc>
          <w:tcPr>
            <w:tcW w:w="0" w:type="auto"/>
            <w:vAlign w:val="center"/>
          </w:tcPr>
          <w:p w14:paraId="7D468998" w14:textId="77777777" w:rsidR="0085600B" w:rsidRDefault="0085600B" w:rsidP="00E17EB2">
            <w:pPr>
              <w:jc w:val="both"/>
            </w:pPr>
          </w:p>
          <w:p w14:paraId="16198EAC" w14:textId="77777777" w:rsidR="0085600B" w:rsidRDefault="0085600B" w:rsidP="00E17EB2">
            <w:pPr>
              <w:jc w:val="both"/>
            </w:pPr>
            <w:r>
              <w:t>Defined by the ICO as:</w:t>
            </w:r>
          </w:p>
          <w:p w14:paraId="6D831919" w14:textId="77777777" w:rsidR="0085600B" w:rsidRDefault="0085600B" w:rsidP="00E17EB2">
            <w:pPr>
              <w:jc w:val="both"/>
            </w:pPr>
          </w:p>
          <w:p w14:paraId="5966D243" w14:textId="77777777" w:rsidR="0085600B" w:rsidRDefault="0085600B" w:rsidP="00E17EB2">
            <w:pPr>
              <w:jc w:val="both"/>
            </w:pPr>
            <w:r>
              <w:t>“</w:t>
            </w:r>
            <w:r w:rsidRPr="005E2757">
              <w:t>The process of rendering data into a form which does not identify individuals either directly or indirectly and where identification is not likely to take place by any means reasonably likely.</w:t>
            </w:r>
            <w:r>
              <w:t>”</w:t>
            </w:r>
          </w:p>
          <w:p w14:paraId="589D29AF" w14:textId="77777777" w:rsidR="0085600B" w:rsidRDefault="0085600B" w:rsidP="00E17EB2">
            <w:pPr>
              <w:jc w:val="both"/>
            </w:pPr>
          </w:p>
        </w:tc>
      </w:tr>
      <w:tr w:rsidR="0085600B" w14:paraId="3216A35B" w14:textId="77777777" w:rsidTr="00AE472C">
        <w:tc>
          <w:tcPr>
            <w:tcW w:w="0" w:type="auto"/>
            <w:vAlign w:val="center"/>
          </w:tcPr>
          <w:p w14:paraId="7626F38C" w14:textId="77777777" w:rsidR="0085600B" w:rsidRDefault="0085600B" w:rsidP="00E17EB2">
            <w:pPr>
              <w:jc w:val="both"/>
            </w:pPr>
            <w:r>
              <w:t>Pseudonymous data</w:t>
            </w:r>
          </w:p>
        </w:tc>
        <w:tc>
          <w:tcPr>
            <w:tcW w:w="0" w:type="auto"/>
            <w:vAlign w:val="center"/>
          </w:tcPr>
          <w:p w14:paraId="4F5A4655" w14:textId="77777777" w:rsidR="0085600B" w:rsidRDefault="0085600B" w:rsidP="00E17EB2">
            <w:pPr>
              <w:jc w:val="both"/>
            </w:pPr>
          </w:p>
          <w:p w14:paraId="55490A1D" w14:textId="77777777" w:rsidR="0085600B" w:rsidRDefault="0085600B" w:rsidP="00E17EB2">
            <w:pPr>
              <w:jc w:val="both"/>
            </w:pPr>
            <w:r>
              <w:t>Defined by the ICO as:</w:t>
            </w:r>
          </w:p>
          <w:p w14:paraId="6E15CF34" w14:textId="77777777" w:rsidR="0085600B" w:rsidRDefault="0085600B" w:rsidP="00E17EB2">
            <w:pPr>
              <w:jc w:val="both"/>
            </w:pPr>
          </w:p>
          <w:p w14:paraId="55BAE178" w14:textId="77777777" w:rsidR="0085600B" w:rsidRDefault="0085600B" w:rsidP="00E17EB2">
            <w:pPr>
              <w:jc w:val="both"/>
            </w:pPr>
            <w:r>
              <w:t>“</w:t>
            </w:r>
            <w:r w:rsidRPr="005E2757">
              <w:t>A form of data that uses a unique identifier, which does not reveal the ‘real world’ identity of the data subject. The pseudonymisation process reduces the links between individuals and the data that relates to them, but does not remove them entirely. While individuals may not be identifiable from the pseudonymous data itself, they can be identified by referring to other information held separately. Both the data set and the additional information are therefore still personal data.</w:t>
            </w:r>
            <w:r>
              <w:t>”</w:t>
            </w:r>
          </w:p>
          <w:p w14:paraId="7D68A1DD" w14:textId="77777777" w:rsidR="0085600B" w:rsidRDefault="0085600B" w:rsidP="00E17EB2">
            <w:pPr>
              <w:jc w:val="both"/>
            </w:pPr>
          </w:p>
        </w:tc>
      </w:tr>
      <w:tr w:rsidR="0085600B" w14:paraId="7CB46EBB" w14:textId="77777777" w:rsidTr="00AE472C">
        <w:tc>
          <w:tcPr>
            <w:tcW w:w="0" w:type="auto"/>
            <w:vAlign w:val="center"/>
          </w:tcPr>
          <w:p w14:paraId="2985AE81" w14:textId="075A5C1F" w:rsidR="0085600B" w:rsidRDefault="0085600B" w:rsidP="00E17EB2">
            <w:pPr>
              <w:jc w:val="both"/>
            </w:pPr>
            <w:r>
              <w:t>Pseudonymisation</w:t>
            </w:r>
          </w:p>
        </w:tc>
        <w:tc>
          <w:tcPr>
            <w:tcW w:w="0" w:type="auto"/>
            <w:vAlign w:val="center"/>
          </w:tcPr>
          <w:p w14:paraId="0884598B" w14:textId="77777777" w:rsidR="0085600B" w:rsidRDefault="0085600B" w:rsidP="00E17EB2">
            <w:pPr>
              <w:jc w:val="both"/>
            </w:pPr>
          </w:p>
          <w:p w14:paraId="586BD255" w14:textId="77777777" w:rsidR="0085600B" w:rsidRDefault="0085600B" w:rsidP="00E17EB2">
            <w:pPr>
              <w:jc w:val="both"/>
            </w:pPr>
            <w:r>
              <w:t>Defined by ICO as:</w:t>
            </w:r>
          </w:p>
          <w:p w14:paraId="3B70E07E" w14:textId="77777777" w:rsidR="0085600B" w:rsidRDefault="0085600B" w:rsidP="00E17EB2">
            <w:pPr>
              <w:jc w:val="both"/>
            </w:pPr>
          </w:p>
          <w:p w14:paraId="746124E7" w14:textId="77777777" w:rsidR="0085600B" w:rsidRDefault="0085600B" w:rsidP="00E17EB2">
            <w:pPr>
              <w:jc w:val="both"/>
            </w:pPr>
            <w:r>
              <w:t>“</w:t>
            </w:r>
            <w:r w:rsidRPr="005E2757">
              <w:t>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r>
              <w:t>”</w:t>
            </w:r>
          </w:p>
          <w:p w14:paraId="4DD197AC" w14:textId="77777777" w:rsidR="0085600B" w:rsidRDefault="0085600B" w:rsidP="00E17EB2">
            <w:pPr>
              <w:jc w:val="both"/>
            </w:pPr>
          </w:p>
        </w:tc>
      </w:tr>
      <w:tr w:rsidR="0085600B" w14:paraId="09CFF2F3" w14:textId="77777777" w:rsidTr="00AE472C">
        <w:tc>
          <w:tcPr>
            <w:tcW w:w="0" w:type="auto"/>
            <w:vAlign w:val="center"/>
          </w:tcPr>
          <w:p w14:paraId="3109068D" w14:textId="77777777" w:rsidR="0085600B" w:rsidRDefault="0085600B" w:rsidP="00E17EB2">
            <w:pPr>
              <w:jc w:val="both"/>
            </w:pPr>
            <w:r>
              <w:lastRenderedPageBreak/>
              <w:t>De-identified data</w:t>
            </w:r>
          </w:p>
        </w:tc>
        <w:tc>
          <w:tcPr>
            <w:tcW w:w="0" w:type="auto"/>
            <w:vAlign w:val="center"/>
          </w:tcPr>
          <w:p w14:paraId="424D2A8F" w14:textId="77777777" w:rsidR="0085600B" w:rsidRDefault="0085600B" w:rsidP="00E17EB2">
            <w:pPr>
              <w:jc w:val="both"/>
            </w:pPr>
          </w:p>
          <w:p w14:paraId="256699E6" w14:textId="77777777" w:rsidR="0085600B" w:rsidRDefault="0085600B" w:rsidP="00E17EB2">
            <w:pPr>
              <w:jc w:val="both"/>
            </w:pPr>
            <w:r>
              <w:t>Defined in Data Saves Lives as:</w:t>
            </w:r>
          </w:p>
          <w:p w14:paraId="6C2AE03F" w14:textId="77777777" w:rsidR="0085600B" w:rsidRDefault="0085600B" w:rsidP="00E17EB2">
            <w:pPr>
              <w:jc w:val="both"/>
            </w:pPr>
          </w:p>
          <w:p w14:paraId="43E9CCF8" w14:textId="201A5654" w:rsidR="0085600B" w:rsidRDefault="0085600B" w:rsidP="00E17EB2">
            <w:pPr>
              <w:jc w:val="both"/>
            </w:pPr>
            <w:r>
              <w:t>“</w:t>
            </w:r>
            <w:r w:rsidRPr="005E2757">
              <w:t>A high-level definition covering pseudonymised, anonymised and aggregated data. The 3 states referred to are different states of de-identified data.</w:t>
            </w:r>
            <w:r>
              <w:t>”</w:t>
            </w:r>
          </w:p>
          <w:p w14:paraId="7B691823" w14:textId="77777777" w:rsidR="0085600B" w:rsidRDefault="0085600B" w:rsidP="00E17EB2">
            <w:pPr>
              <w:jc w:val="both"/>
            </w:pPr>
          </w:p>
        </w:tc>
      </w:tr>
      <w:tr w:rsidR="0085600B" w14:paraId="599CA711" w14:textId="77777777" w:rsidTr="00AE472C">
        <w:tc>
          <w:tcPr>
            <w:tcW w:w="0" w:type="auto"/>
            <w:vAlign w:val="center"/>
          </w:tcPr>
          <w:p w14:paraId="09A80E0D" w14:textId="77777777" w:rsidR="0085600B" w:rsidRDefault="0085600B" w:rsidP="00E17EB2">
            <w:pPr>
              <w:jc w:val="both"/>
            </w:pPr>
            <w:r>
              <w:t>Clinical care team</w:t>
            </w:r>
          </w:p>
        </w:tc>
        <w:tc>
          <w:tcPr>
            <w:tcW w:w="0" w:type="auto"/>
            <w:vAlign w:val="center"/>
          </w:tcPr>
          <w:p w14:paraId="0F2FBDED" w14:textId="77777777" w:rsidR="0085600B" w:rsidRDefault="0085600B" w:rsidP="00E17EB2">
            <w:pPr>
              <w:jc w:val="both"/>
            </w:pPr>
          </w:p>
          <w:p w14:paraId="3595DF3A" w14:textId="77777777" w:rsidR="0085600B" w:rsidRDefault="0085600B" w:rsidP="00E17EB2">
            <w:pPr>
              <w:jc w:val="both"/>
            </w:pPr>
            <w:r>
              <w:t>Defined in the CUH Confidentiality of Personal Health Information Policy as:</w:t>
            </w:r>
          </w:p>
          <w:p w14:paraId="51A17B67" w14:textId="77777777" w:rsidR="0085600B" w:rsidRDefault="0085600B" w:rsidP="00E17EB2">
            <w:pPr>
              <w:jc w:val="both"/>
            </w:pPr>
          </w:p>
          <w:p w14:paraId="3B07F543" w14:textId="77777777" w:rsidR="0085600B" w:rsidRDefault="0085600B" w:rsidP="00E17EB2">
            <w:pPr>
              <w:jc w:val="both"/>
            </w:pPr>
            <w:r>
              <w:t>“Health and social care professionals who provide direct care to the patients and others such as administration staff who directly support that care.”</w:t>
            </w:r>
          </w:p>
          <w:p w14:paraId="3B58D2D2" w14:textId="77777777" w:rsidR="0085600B" w:rsidRDefault="0085600B" w:rsidP="00E17EB2">
            <w:pPr>
              <w:jc w:val="both"/>
            </w:pPr>
          </w:p>
        </w:tc>
      </w:tr>
      <w:tr w:rsidR="0085600B" w14:paraId="7BBEC392" w14:textId="77777777" w:rsidTr="00AE472C">
        <w:tc>
          <w:tcPr>
            <w:tcW w:w="0" w:type="auto"/>
            <w:vAlign w:val="center"/>
          </w:tcPr>
          <w:p w14:paraId="69C21CC7" w14:textId="77777777" w:rsidR="0085600B" w:rsidRDefault="0085600B" w:rsidP="00E17EB2">
            <w:pPr>
              <w:jc w:val="both"/>
            </w:pPr>
            <w:r>
              <w:t>Confidential patient information</w:t>
            </w:r>
          </w:p>
        </w:tc>
        <w:tc>
          <w:tcPr>
            <w:tcW w:w="0" w:type="auto"/>
            <w:vAlign w:val="center"/>
          </w:tcPr>
          <w:p w14:paraId="56D6E3D2" w14:textId="77777777" w:rsidR="0085600B" w:rsidRDefault="0085600B" w:rsidP="00E17EB2">
            <w:pPr>
              <w:jc w:val="both"/>
            </w:pPr>
          </w:p>
          <w:p w14:paraId="0CEECDDA" w14:textId="77777777" w:rsidR="0085600B" w:rsidRDefault="0085600B" w:rsidP="00E17EB2">
            <w:pPr>
              <w:jc w:val="both"/>
            </w:pPr>
            <w:r>
              <w:t>Defined in the NHS Act 2006 as:</w:t>
            </w:r>
          </w:p>
          <w:p w14:paraId="405BE083" w14:textId="77777777" w:rsidR="0085600B" w:rsidRDefault="0085600B" w:rsidP="00E17EB2">
            <w:pPr>
              <w:jc w:val="both"/>
            </w:pPr>
          </w:p>
          <w:p w14:paraId="1FC0E3E6" w14:textId="77777777" w:rsidR="0085600B" w:rsidRDefault="0085600B" w:rsidP="00E17EB2">
            <w:pPr>
              <w:jc w:val="both"/>
            </w:pPr>
            <w:r>
              <w:t>“any information about any patient, alive or dead, that meets the following three requirements:</w:t>
            </w:r>
          </w:p>
          <w:p w14:paraId="45F3AE05" w14:textId="77777777" w:rsidR="0085600B" w:rsidRDefault="0085600B" w:rsidP="00E17EB2">
            <w:pPr>
              <w:jc w:val="both"/>
            </w:pPr>
          </w:p>
          <w:p w14:paraId="3067C9E3" w14:textId="77777777" w:rsidR="0085600B" w:rsidRDefault="0085600B" w:rsidP="00E17EB2">
            <w:pPr>
              <w:jc w:val="both"/>
            </w:pPr>
            <w:r>
              <w:t>•is identifiable or likely to be identifiable, for example from other data likely to be held by the person or organisation receiving the data, if a patient could be identified from it</w:t>
            </w:r>
          </w:p>
          <w:p w14:paraId="18B8DBAA" w14:textId="77777777" w:rsidR="0085600B" w:rsidRDefault="0085600B" w:rsidP="00E17EB2">
            <w:pPr>
              <w:jc w:val="both"/>
            </w:pPr>
          </w:p>
          <w:p w14:paraId="06CFC634" w14:textId="77777777" w:rsidR="0085600B" w:rsidRDefault="0085600B" w:rsidP="00E17EB2">
            <w:pPr>
              <w:jc w:val="both"/>
            </w:pPr>
            <w:r>
              <w:t>•was given in circumstances where the individual is owed an obligation of confidence</w:t>
            </w:r>
          </w:p>
          <w:p w14:paraId="6BF36A44" w14:textId="77777777" w:rsidR="0085600B" w:rsidRDefault="0085600B" w:rsidP="00E17EB2">
            <w:pPr>
              <w:jc w:val="both"/>
            </w:pPr>
          </w:p>
          <w:p w14:paraId="7440A770" w14:textId="77777777" w:rsidR="0085600B" w:rsidRDefault="0085600B" w:rsidP="00E17EB2">
            <w:pPr>
              <w:jc w:val="both"/>
            </w:pPr>
            <w:r>
              <w:t>•conveys some information about the physical or mental health or condition of an individual, a diagnosis of their condition, or information on their care or treatment.”</w:t>
            </w:r>
          </w:p>
          <w:p w14:paraId="6F6473E3" w14:textId="77777777" w:rsidR="0085600B" w:rsidRDefault="0085600B" w:rsidP="00E17EB2">
            <w:pPr>
              <w:jc w:val="both"/>
            </w:pPr>
          </w:p>
        </w:tc>
      </w:tr>
    </w:tbl>
    <w:p w14:paraId="6B6B0913" w14:textId="3F130422" w:rsidR="0085600B" w:rsidRDefault="0085600B" w:rsidP="00E17EB2">
      <w:pPr>
        <w:jc w:val="both"/>
      </w:pPr>
    </w:p>
    <w:p w14:paraId="3D2B1535" w14:textId="6412FC18" w:rsidR="00E17EB2" w:rsidRPr="00E0686F" w:rsidRDefault="00E17EB2" w:rsidP="00E17EB2">
      <w:r>
        <w:br w:type="page"/>
      </w:r>
    </w:p>
    <w:p w14:paraId="53AB13BE" w14:textId="77777777" w:rsidR="009900B1" w:rsidRPr="00455374" w:rsidRDefault="009900B1" w:rsidP="00E17EB2">
      <w:pPr>
        <w:pStyle w:val="Heading1"/>
        <w:jc w:val="both"/>
        <w:rPr>
          <w:rFonts w:ascii="Calibri" w:hAnsi="Calibri" w:cs="Calibri"/>
          <w:b/>
          <w:color w:val="auto"/>
          <w:sz w:val="28"/>
          <w:szCs w:val="40"/>
        </w:rPr>
      </w:pPr>
      <w:bookmarkStart w:id="31" w:name="_Toc204260192"/>
      <w:r w:rsidRPr="00455374">
        <w:rPr>
          <w:rFonts w:ascii="Calibri" w:hAnsi="Calibri" w:cs="Calibri"/>
          <w:b/>
          <w:color w:val="auto"/>
          <w:sz w:val="28"/>
          <w:szCs w:val="40"/>
        </w:rPr>
        <w:lastRenderedPageBreak/>
        <w:t>References and further information</w:t>
      </w:r>
      <w:bookmarkEnd w:id="31"/>
    </w:p>
    <w:p w14:paraId="65214A0C" w14:textId="77777777" w:rsidR="009900B1" w:rsidRPr="00E0686F" w:rsidRDefault="009900B1" w:rsidP="00E17EB2">
      <w:pPr>
        <w:jc w:val="both"/>
      </w:pPr>
    </w:p>
    <w:p w14:paraId="49228906" w14:textId="176BBC2B" w:rsidR="009900B1" w:rsidRDefault="009900B1">
      <w:r w:rsidRPr="00043ADA">
        <w:t>Better, broader, safer: using health data for research and analysis</w:t>
      </w:r>
      <w:r w:rsidR="00DF2326">
        <w:t xml:space="preserve">: </w:t>
      </w:r>
      <w:hyperlink r:id="rId45" w:history="1">
        <w:r w:rsidRPr="00C003AD">
          <w:rPr>
            <w:rStyle w:val="Hyperlink"/>
          </w:rPr>
          <w:t>https://www.gov.uk/government/publications/better-broader-safer-using-health-data-for-research-and-analysis</w:t>
        </w:r>
      </w:hyperlink>
    </w:p>
    <w:p w14:paraId="2395434D" w14:textId="2CEB6D80" w:rsidR="0090495A" w:rsidRDefault="0090495A">
      <w:r>
        <w:t xml:space="preserve">Cambridge BRC data research information: </w:t>
      </w:r>
      <w:hyperlink r:id="rId46" w:history="1">
        <w:r w:rsidRPr="00C6009C">
          <w:rPr>
            <w:rStyle w:val="Hyperlink"/>
          </w:rPr>
          <w:t>https://cambridgebrc.nihr.ac.uk/our-research/health-data-research-at-cuh/</w:t>
        </w:r>
      </w:hyperlink>
      <w:r>
        <w:t xml:space="preserve"> </w:t>
      </w:r>
    </w:p>
    <w:p w14:paraId="4A9096F7" w14:textId="4744559D" w:rsidR="00DF2326" w:rsidRDefault="00DF2326">
      <w:r>
        <w:t xml:space="preserve">CUH Connect Patient Outcomes guidance: </w:t>
      </w:r>
      <w:hyperlink r:id="rId47" w:history="1">
        <w:r w:rsidRPr="00C6009C">
          <w:rPr>
            <w:rStyle w:val="Hyperlink"/>
          </w:rPr>
          <w:t>https://www.cuhconnect.nhs.uk/our-structure/a-z-teams/chief-nurse/safety-and-quality-support/patient-outcomes-team/</w:t>
        </w:r>
      </w:hyperlink>
      <w:r>
        <w:t xml:space="preserve"> </w:t>
      </w:r>
    </w:p>
    <w:p w14:paraId="4CEF7CC7" w14:textId="1B1E8315" w:rsidR="009900B1" w:rsidRDefault="009900B1">
      <w:r>
        <w:t xml:space="preserve">CUH </w:t>
      </w:r>
      <w:r w:rsidRPr="00043ADA">
        <w:t>Confidentiality of Personal Health Information</w:t>
      </w:r>
      <w:r>
        <w:t xml:space="preserve"> policy</w:t>
      </w:r>
      <w:r w:rsidR="00DF2326">
        <w:t xml:space="preserve">: </w:t>
      </w:r>
      <w:hyperlink r:id="rId48" w:history="1">
        <w:r w:rsidR="00DF2326" w:rsidRPr="00C6009C">
          <w:rPr>
            <w:rStyle w:val="Hyperlink"/>
          </w:rPr>
          <w:t>http://merlin/Pages/Results.aspx?k=Confidentiality%20of%20Personal%20Health%20Information%20Policy</w:t>
        </w:r>
      </w:hyperlink>
      <w:r w:rsidR="00DF2326">
        <w:t xml:space="preserve"> </w:t>
      </w:r>
    </w:p>
    <w:p w14:paraId="1A92B0B7" w14:textId="7C977EB6" w:rsidR="009900B1" w:rsidRDefault="009900B1">
      <w:r w:rsidRPr="00043ADA">
        <w:t>Data saves lives: reshaping health and social care with data</w:t>
      </w:r>
      <w:r w:rsidR="00DF2326">
        <w:t xml:space="preserve">: </w:t>
      </w:r>
      <w:hyperlink r:id="rId49" w:anchor="annex-e-glossary" w:history="1">
        <w:r w:rsidR="00DF2326" w:rsidRPr="00C6009C">
          <w:rPr>
            <w:rStyle w:val="Hyperlink"/>
          </w:rPr>
          <w:t>https://www.gov.uk/government/publications/data-saves-lives-reshaping-health-and-social-care-with-data/data-saves-lives-reshaping-health-and-social-care-with-data#annex-e-glossary</w:t>
        </w:r>
      </w:hyperlink>
      <w:r w:rsidR="00DF2326">
        <w:t xml:space="preserve"> </w:t>
      </w:r>
    </w:p>
    <w:p w14:paraId="2BB8579D" w14:textId="77777777" w:rsidR="00DF2326" w:rsidRDefault="00DF2326">
      <w:r>
        <w:t xml:space="preserve">HRA definitions </w:t>
      </w:r>
      <w:r>
        <w:tab/>
        <w:t xml:space="preserve">for using health and care data: </w:t>
      </w:r>
      <w:hyperlink r:id="rId50" w:history="1">
        <w:r w:rsidRPr="00ED1B28">
          <w:rPr>
            <w:rStyle w:val="Hyperlink"/>
          </w:rPr>
          <w:t>https://www.hra.nhs.uk/planning-and-improving-research/research-planning/how-were-supporting-data-driven-technology/overview-legal-requirements-using-health-and-care-data-development-and-deployment-data-driven-technologies/5-definitions-alphabetical/</w:t>
        </w:r>
      </w:hyperlink>
      <w:r>
        <w:t xml:space="preserve"> </w:t>
      </w:r>
    </w:p>
    <w:p w14:paraId="249264FA" w14:textId="77777777" w:rsidR="00DF2326" w:rsidRDefault="00DF2326">
      <w:r>
        <w:t xml:space="preserve">HRA Defining Research table: </w:t>
      </w:r>
      <w:hyperlink r:id="rId51" w:history="1">
        <w:r w:rsidRPr="00C6009C">
          <w:rPr>
            <w:rStyle w:val="Hyperlink"/>
          </w:rPr>
          <w:t>http://www.hra-decisiontools.org.uk/research/docs/DefiningResearchTable_Oct2017-1.pdf</w:t>
        </w:r>
      </w:hyperlink>
      <w:r>
        <w:t xml:space="preserve"> </w:t>
      </w:r>
    </w:p>
    <w:p w14:paraId="5221F2BE" w14:textId="6D49199D" w:rsidR="00DF2326" w:rsidRDefault="00DF2326">
      <w:r>
        <w:t xml:space="preserve">HRA ERIN overview: </w:t>
      </w:r>
      <w:hyperlink r:id="rId52" w:history="1">
        <w:r w:rsidRPr="00C6009C">
          <w:rPr>
            <w:rStyle w:val="Hyperlink"/>
          </w:rPr>
          <w:t>https://www.hra.nhs.uk/planning-and-improving-research/application-summaries/research-summaries/erin-ehr-research-and-innovation-database/</w:t>
        </w:r>
      </w:hyperlink>
    </w:p>
    <w:p w14:paraId="16E287D6" w14:textId="5D3C17D3" w:rsidR="00DF2326" w:rsidRDefault="00DF2326">
      <w:r>
        <w:t xml:space="preserve">HRA “Is my study research?” decision tool: </w:t>
      </w:r>
      <w:hyperlink r:id="rId53" w:history="1">
        <w:r w:rsidRPr="00C6009C">
          <w:rPr>
            <w:rStyle w:val="Hyperlink"/>
          </w:rPr>
          <w:t>https://www.hra-decisiontools.org.uk/research/</w:t>
        </w:r>
      </w:hyperlink>
      <w:r>
        <w:t xml:space="preserve"> </w:t>
      </w:r>
    </w:p>
    <w:p w14:paraId="6F7654FF" w14:textId="7AD738E5" w:rsidR="00DF2326" w:rsidRDefault="00DF2326">
      <w:r>
        <w:t xml:space="preserve">HRA PPIE guidance: </w:t>
      </w:r>
      <w:hyperlink r:id="rId54" w:history="1">
        <w:r w:rsidRPr="00C6009C">
          <w:rPr>
            <w:rStyle w:val="Hyperlink"/>
          </w:rPr>
          <w:t>https://www.hra.nhs.uk/planning-and-improving-research/best-practice/public-involvement/</w:t>
        </w:r>
      </w:hyperlink>
      <w:r>
        <w:t xml:space="preserve"> </w:t>
      </w:r>
    </w:p>
    <w:p w14:paraId="7B649563" w14:textId="1771FF5E" w:rsidR="00DF2326" w:rsidRDefault="00DF2326">
      <w:r>
        <w:t xml:space="preserve">HRA protocol guidance: </w:t>
      </w:r>
      <w:hyperlink r:id="rId55" w:history="1">
        <w:r w:rsidRPr="00C6009C">
          <w:rPr>
            <w:rStyle w:val="Hyperlink"/>
          </w:rPr>
          <w:t>https://www.hra.nhs.uk/planning-and-improving-research/research-planning/protocol/</w:t>
        </w:r>
      </w:hyperlink>
      <w:r>
        <w:t xml:space="preserve"> </w:t>
      </w:r>
    </w:p>
    <w:p w14:paraId="0FD70C1A" w14:textId="6B29205E" w:rsidR="00DF2326" w:rsidRPr="00E17EB2" w:rsidRDefault="009900B1">
      <w:pPr>
        <w:rPr>
          <w:color w:val="0563C1" w:themeColor="hyperlink"/>
          <w:u w:val="single"/>
        </w:rPr>
      </w:pPr>
      <w:r w:rsidRPr="00043ADA">
        <w:t>ICO Anonymisationguidance</w:t>
      </w:r>
      <w:r w:rsidR="00DF2326">
        <w:t xml:space="preserve">: </w:t>
      </w:r>
      <w:hyperlink r:id="rId56" w:history="1">
        <w:r w:rsidR="00E17EB2" w:rsidRPr="00233A92">
          <w:rPr>
            <w:rStyle w:val="Hyperlink"/>
          </w:rPr>
          <w:t>https://ico.org.uk/for-organisations/uk-gdpr-guidance-and-resources/data-sharing/anonymisation/about-this-guidance/</w:t>
        </w:r>
      </w:hyperlink>
      <w:r w:rsidR="00E17EB2">
        <w:t xml:space="preserve"> </w:t>
      </w:r>
    </w:p>
    <w:p w14:paraId="5A1731D0" w14:textId="6ACFD1F2" w:rsidR="00DF2326" w:rsidRDefault="00DF2326">
      <w:r>
        <w:t xml:space="preserve">IRAS general guidance: </w:t>
      </w:r>
      <w:hyperlink r:id="rId57" w:history="1">
        <w:r w:rsidRPr="00C6009C">
          <w:rPr>
            <w:rStyle w:val="Hyperlink"/>
          </w:rPr>
          <w:t>https://www.myresearchproject.org.uk/Help/HelpPage.aspx</w:t>
        </w:r>
      </w:hyperlink>
      <w:r>
        <w:t xml:space="preserve"> </w:t>
      </w:r>
    </w:p>
    <w:p w14:paraId="650D491F" w14:textId="08FFD83C" w:rsidR="00DF2326" w:rsidRDefault="00DF2326">
      <w:r>
        <w:t xml:space="preserve">IRAS Site specific information guidance: </w:t>
      </w:r>
      <w:hyperlink r:id="rId58" w:history="1">
        <w:r w:rsidRPr="00C6009C">
          <w:rPr>
            <w:rStyle w:val="Hyperlink"/>
          </w:rPr>
          <w:t>https://www.myresearchproject.org.uk/help/hlpsitespecific.aspx</w:t>
        </w:r>
      </w:hyperlink>
      <w:r>
        <w:t xml:space="preserve"> </w:t>
      </w:r>
    </w:p>
    <w:p w14:paraId="371C6001" w14:textId="3FBAF44D" w:rsidR="00D640C5" w:rsidRDefault="00D640C5">
      <w:r>
        <w:t xml:space="preserve">MHRA tool to determine whether software is a device: </w:t>
      </w:r>
      <w:hyperlink r:id="rId59" w:history="1">
        <w:r w:rsidRPr="00C6009C">
          <w:rPr>
            <w:rStyle w:val="Hyperlink"/>
          </w:rPr>
          <w:t>https://assets.publishing.service.gov.uk/media/64a7d22d7a4c230013bba33c/Medical_device_stand-alone_software_including_apps__including_IVDMDs_.pdf</w:t>
        </w:r>
      </w:hyperlink>
      <w:r>
        <w:t xml:space="preserve"> </w:t>
      </w:r>
    </w:p>
    <w:p w14:paraId="789E916B" w14:textId="124689AD" w:rsidR="00D640C5" w:rsidRDefault="00D640C5">
      <w:r>
        <w:t xml:space="preserve">NHS </w:t>
      </w:r>
      <w:r w:rsidRPr="00D640C5">
        <w:t>AI and Digital Regulations Service for health and social care</w:t>
      </w:r>
      <w:r>
        <w:t xml:space="preserve">: </w:t>
      </w:r>
      <w:hyperlink r:id="rId60" w:history="1">
        <w:r w:rsidRPr="00C6009C">
          <w:rPr>
            <w:rStyle w:val="Hyperlink"/>
          </w:rPr>
          <w:t>https://www.digitalregulations.innovation.nhs.uk/</w:t>
        </w:r>
      </w:hyperlink>
      <w:r>
        <w:t xml:space="preserve"> </w:t>
      </w:r>
    </w:p>
    <w:p w14:paraId="48504068" w14:textId="2C6A3762" w:rsidR="00D640C5" w:rsidRDefault="00D640C5">
      <w:r>
        <w:lastRenderedPageBreak/>
        <w:t>NHS England D</w:t>
      </w:r>
      <w:r w:rsidRPr="00D640C5">
        <w:t>ata Security and Protection Toolkit</w:t>
      </w:r>
      <w:r>
        <w:t xml:space="preserve">: </w:t>
      </w:r>
      <w:hyperlink r:id="rId61" w:history="1">
        <w:r w:rsidRPr="00C6009C">
          <w:rPr>
            <w:rStyle w:val="Hyperlink"/>
          </w:rPr>
          <w:t>https://www.dsptoolkit.nhs.uk/</w:t>
        </w:r>
      </w:hyperlink>
      <w:r>
        <w:t xml:space="preserve"> </w:t>
      </w:r>
    </w:p>
    <w:p w14:paraId="3DD0ECF4" w14:textId="12A5C0FE" w:rsidR="00DF2326" w:rsidRDefault="00DF2326">
      <w:pPr>
        <w:rPr>
          <w:rFonts w:ascii="Calibri" w:hAnsi="Calibri" w:cs="Calibri"/>
        </w:rPr>
      </w:pPr>
      <w:r>
        <w:t xml:space="preserve">NHS England information governance and data protection: </w:t>
      </w:r>
      <w:hyperlink r:id="rId62" w:history="1">
        <w:r w:rsidRPr="00ED1B28">
          <w:rPr>
            <w:rStyle w:val="Hyperlink"/>
          </w:rPr>
          <w:t>https://www.england.nhs.uk/long-read/information-governance-and-data-protection/</w:t>
        </w:r>
      </w:hyperlink>
      <w:r>
        <w:t xml:space="preserve"> </w:t>
      </w:r>
    </w:p>
    <w:p w14:paraId="7B7A16F5" w14:textId="33E04557" w:rsidR="00DF2326" w:rsidRDefault="00DF2326">
      <w:r>
        <w:rPr>
          <w:rFonts w:ascii="Calibri" w:hAnsi="Calibri" w:cs="Calibri"/>
        </w:rPr>
        <w:t xml:space="preserve">UK Policy Framework for Health and Social Care Research: </w:t>
      </w:r>
      <w:hyperlink r:id="rId63" w:anchor="scope" w:history="1">
        <w:r w:rsidRPr="00C6009C">
          <w:rPr>
            <w:rStyle w:val="Hyperlink"/>
            <w:rFonts w:ascii="Calibri" w:hAnsi="Calibri" w:cs="Calibri"/>
          </w:rPr>
          <w:t>https://www.hra.nhs.uk/planning-and-improving-research/policies-standards-legislation/uk-policy-framework-health-social-care-research/uk-policy-framework-health-and-social-care-research/#scope</w:t>
        </w:r>
      </w:hyperlink>
      <w:r>
        <w:rPr>
          <w:rFonts w:ascii="Calibri" w:hAnsi="Calibri" w:cs="Calibri"/>
        </w:rPr>
        <w:t xml:space="preserve"> </w:t>
      </w:r>
    </w:p>
    <w:p w14:paraId="176A2574" w14:textId="77777777" w:rsidR="009900B1" w:rsidRDefault="009900B1"/>
    <w:p w14:paraId="719ED98B" w14:textId="1E409D63" w:rsidR="00D640C5" w:rsidRDefault="00D640C5">
      <w:r>
        <w:t xml:space="preserve">University of Cambridge RDS: </w:t>
      </w:r>
      <w:hyperlink r:id="rId64" w:history="1">
        <w:r w:rsidRPr="00C6009C">
          <w:rPr>
            <w:rStyle w:val="Hyperlink"/>
          </w:rPr>
          <w:t>https://docs.hpc.cam.ac.uk/storage/rds/index.html</w:t>
        </w:r>
      </w:hyperlink>
      <w:r>
        <w:t xml:space="preserve"> </w:t>
      </w:r>
    </w:p>
    <w:p w14:paraId="01336E85" w14:textId="7EBA8611" w:rsidR="000D0D99" w:rsidRDefault="00D640C5">
      <w:r>
        <w:t xml:space="preserve">University of Cambridge SRCP: </w:t>
      </w:r>
      <w:hyperlink r:id="rId65" w:history="1">
        <w:r w:rsidRPr="00C6009C">
          <w:rPr>
            <w:rStyle w:val="Hyperlink"/>
          </w:rPr>
          <w:t>https://www.hpc.cam.ac.uk/secure-research-computing</w:t>
        </w:r>
      </w:hyperlink>
      <w:r>
        <w:t xml:space="preserve"> </w:t>
      </w:r>
    </w:p>
    <w:sectPr w:rsidR="000D0D99" w:rsidSect="00BC2770">
      <w:footerReference w:type="default" r:id="rId66"/>
      <w:pgSz w:w="11906" w:h="16838"/>
      <w:pgMar w:top="1440" w:right="1440" w:bottom="1440" w:left="1440" w:header="709"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B04793" w16cex:dateUtc="2025-08-08T12:07:00Z"/>
  <w16cex:commentExtensible w16cex:durableId="7E2CE3B4" w16cex:dateUtc="2025-08-08T12:08:00Z"/>
  <w16cex:commentExtensible w16cex:durableId="4A573502" w16cex:dateUtc="2025-08-08T12:11:00Z"/>
  <w16cex:commentExtensible w16cex:durableId="7EBB69F1" w16cex:dateUtc="2025-08-08T12:12:00Z"/>
  <w16cex:commentExtensible w16cex:durableId="5C1AE1F1" w16cex:dateUtc="2025-08-08T12:12:00Z"/>
  <w16cex:commentExtensible w16cex:durableId="2EB512A1" w16cex:dateUtc="2025-08-08T12:13:00Z"/>
  <w16cex:commentExtensible w16cex:durableId="374409FA" w16cex:dateUtc="2025-08-08T12:16:00Z"/>
  <w16cex:commentExtensible w16cex:durableId="6A75C5F3" w16cex:dateUtc="2025-08-06T14:41:00Z"/>
  <w16cex:commentExtensible w16cex:durableId="7AB30048" w16cex:dateUtc="2025-08-08T12:20:00Z"/>
  <w16cex:commentExtensible w16cex:durableId="62EF21CF" w16cex:dateUtc="2025-08-08T12:24:00Z"/>
  <w16cex:commentExtensible w16cex:durableId="00588122" w16cex:dateUtc="2025-08-06T12:27:00Z"/>
  <w16cex:commentExtensible w16cex:durableId="7575A3A6" w16cex:dateUtc="2025-08-08T12:29:00Z"/>
  <w16cex:commentExtensible w16cex:durableId="2CA314C8" w16cex:dateUtc="2025-08-08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3F052" w16cid:durableId="7AB04793"/>
  <w16cid:commentId w16cid:paraId="435D2A94" w16cid:durableId="7E2CE3B4"/>
  <w16cid:commentId w16cid:paraId="16452400" w16cid:durableId="4A573502"/>
  <w16cid:commentId w16cid:paraId="069B6CFF" w16cid:durableId="7EBB69F1"/>
  <w16cid:commentId w16cid:paraId="1446579C" w16cid:durableId="5C1AE1F1"/>
  <w16cid:commentId w16cid:paraId="001CA977" w16cid:durableId="2EB512A1"/>
  <w16cid:commentId w16cid:paraId="138FBB7A" w16cid:durableId="374409FA"/>
  <w16cid:commentId w16cid:paraId="0BE84CE2" w16cid:durableId="6A75C5F3"/>
  <w16cid:commentId w16cid:paraId="4019B560" w16cid:durableId="7AB30048"/>
  <w16cid:commentId w16cid:paraId="3305F6B2" w16cid:durableId="62EF21CF"/>
  <w16cid:commentId w16cid:paraId="63532E80" w16cid:durableId="00588122"/>
  <w16cid:commentId w16cid:paraId="048DE8BB" w16cid:durableId="7575A3A6"/>
  <w16cid:commentId w16cid:paraId="3CF9BD45" w16cid:durableId="2CA314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FC4C" w14:textId="77777777" w:rsidR="00245392" w:rsidRDefault="00245392" w:rsidP="00B50594">
      <w:pPr>
        <w:spacing w:after="0" w:line="240" w:lineRule="auto"/>
      </w:pPr>
      <w:r>
        <w:separator/>
      </w:r>
    </w:p>
  </w:endnote>
  <w:endnote w:type="continuationSeparator" w:id="0">
    <w:p w14:paraId="08B6BFA5" w14:textId="77777777" w:rsidR="00245392" w:rsidRDefault="00245392" w:rsidP="00B5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C036" w14:textId="312CB090" w:rsidR="00245392" w:rsidRDefault="00245392">
    <w:pPr>
      <w:pStyle w:val="Footer"/>
    </w:pPr>
    <w:r>
      <w:t>Researcher guidance for ERIN</w:t>
    </w:r>
    <w:r w:rsidRPr="0097658D">
      <w:t xml:space="preserve"> Database </w:t>
    </w:r>
    <w:r>
      <w:ptab w:relativeTo="margin" w:alignment="center" w:leader="none"/>
    </w:r>
    <w:r w:rsidR="00E17EB2">
      <w:t>v1.0 21/07</w:t>
    </w:r>
    <w:r>
      <w:t>/2025</w:t>
    </w:r>
    <w:r>
      <w:ptab w:relativeTo="margin" w:alignment="right" w:leader="none"/>
    </w:r>
    <w:r w:rsidRPr="009148F0">
      <w:rPr>
        <w:color w:val="7F7F7F" w:themeColor="background1" w:themeShade="7F"/>
        <w:spacing w:val="60"/>
      </w:rPr>
      <w:t>Page</w:t>
    </w:r>
    <w:r w:rsidRPr="009148F0">
      <w:t xml:space="preserve"> | </w:t>
    </w:r>
    <w:r w:rsidRPr="009148F0">
      <w:fldChar w:fldCharType="begin"/>
    </w:r>
    <w:r w:rsidRPr="009148F0">
      <w:instrText xml:space="preserve"> PAGE   \* MERGEFORMAT </w:instrText>
    </w:r>
    <w:r w:rsidRPr="009148F0">
      <w:fldChar w:fldCharType="separate"/>
    </w:r>
    <w:r w:rsidR="002C5D25" w:rsidRPr="002C5D25">
      <w:rPr>
        <w:b/>
        <w:bCs/>
        <w:noProof/>
      </w:rPr>
      <w:t>iv</w:t>
    </w:r>
    <w:r w:rsidRPr="009148F0">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51932"/>
      <w:docPartObj>
        <w:docPartGallery w:val="Page Numbers (Bottom of Page)"/>
        <w:docPartUnique/>
      </w:docPartObj>
    </w:sdtPr>
    <w:sdtEndPr>
      <w:rPr>
        <w:noProof/>
      </w:rPr>
    </w:sdtEndPr>
    <w:sdtContent>
      <w:p w14:paraId="077F919B" w14:textId="5ECDD411" w:rsidR="00245392" w:rsidRDefault="00245392">
        <w:pPr>
          <w:pStyle w:val="Footer"/>
          <w:jc w:val="right"/>
        </w:pPr>
        <w:r>
          <w:fldChar w:fldCharType="begin"/>
        </w:r>
        <w:r>
          <w:instrText xml:space="preserve"> PAGE   \* MERGEFORMAT </w:instrText>
        </w:r>
        <w:r>
          <w:fldChar w:fldCharType="separate"/>
        </w:r>
        <w:r w:rsidR="002C5D25">
          <w:rPr>
            <w:noProof/>
          </w:rPr>
          <w:t>10</w:t>
        </w:r>
        <w:r>
          <w:rPr>
            <w:noProof/>
          </w:rPr>
          <w:fldChar w:fldCharType="end"/>
        </w:r>
      </w:p>
    </w:sdtContent>
  </w:sdt>
  <w:p w14:paraId="4401A6A0" w14:textId="0B865930" w:rsidR="00245392" w:rsidRPr="00B50594" w:rsidRDefault="00245392">
    <w:pPr>
      <w:pStyle w:val="Footer"/>
      <w:rPr>
        <w:rFonts w:ascii="Calibri" w:hAnsi="Calibri" w:cs="Calibri"/>
      </w:rPr>
    </w:pPr>
    <w:r w:rsidRPr="00DD5D8D">
      <w:rPr>
        <w:rFonts w:ascii="Calibri" w:hAnsi="Calibri" w:cs="Calibri"/>
      </w:rPr>
      <w:t>Researcher guidance for</w:t>
    </w:r>
    <w:r w:rsidR="00E17EB2">
      <w:rPr>
        <w:rFonts w:ascii="Calibri" w:hAnsi="Calibri" w:cs="Calibri"/>
      </w:rPr>
      <w:t xml:space="preserve"> ERIN database v1.0 21/07</w:t>
    </w:r>
    <w:r>
      <w:rPr>
        <w:rFonts w:ascii="Calibri" w:hAnsi="Calibri" w:cs="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C4846" w14:textId="77777777" w:rsidR="00245392" w:rsidRDefault="00245392" w:rsidP="00B50594">
      <w:pPr>
        <w:spacing w:after="0" w:line="240" w:lineRule="auto"/>
      </w:pPr>
      <w:r>
        <w:separator/>
      </w:r>
    </w:p>
  </w:footnote>
  <w:footnote w:type="continuationSeparator" w:id="0">
    <w:p w14:paraId="58548E11" w14:textId="77777777" w:rsidR="00245392" w:rsidRDefault="00245392" w:rsidP="00B50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FD22C" w14:textId="034F67CD" w:rsidR="00245392" w:rsidRPr="00BB45A3" w:rsidRDefault="00245392" w:rsidP="002C5146">
    <w:pPr>
      <w:pStyle w:val="Header"/>
      <w:tabs>
        <w:tab w:val="clear" w:pos="4513"/>
      </w:tabs>
      <w:rPr>
        <w:rFonts w:ascii="Franklin Gothic Demi" w:hAnsi="Franklin Gothic Demi"/>
        <w:szCs w:val="20"/>
      </w:rPr>
    </w:pPr>
    <w:r>
      <w:rPr>
        <w:rFonts w:ascii="Franklin Gothic Demi" w:hAnsi="Franklin Gothic Demi"/>
        <w:szCs w:val="20"/>
      </w:rPr>
      <w:t xml:space="preserve">Researcher guidance for </w:t>
    </w:r>
    <w:r w:rsidRPr="0097658D">
      <w:rPr>
        <w:rFonts w:ascii="Franklin Gothic Demi" w:hAnsi="Franklin Gothic Demi"/>
        <w:szCs w:val="20"/>
      </w:rPr>
      <w:t>EHR Research and Innovation (ERIN) Database</w:t>
    </w:r>
  </w:p>
  <w:p w14:paraId="0A3EB8E8" w14:textId="77777777" w:rsidR="00245392" w:rsidRDefault="00245392" w:rsidP="004747D8">
    <w:pPr>
      <w:pStyle w:val="Header"/>
    </w:pPr>
  </w:p>
  <w:p w14:paraId="76780075" w14:textId="77777777" w:rsidR="00245392" w:rsidRDefault="00245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BBF"/>
    <w:multiLevelType w:val="hybridMultilevel"/>
    <w:tmpl w:val="3744B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42B42"/>
    <w:multiLevelType w:val="hybridMultilevel"/>
    <w:tmpl w:val="7CDA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C1FDB"/>
    <w:multiLevelType w:val="hybridMultilevel"/>
    <w:tmpl w:val="745A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74AA"/>
    <w:multiLevelType w:val="hybridMultilevel"/>
    <w:tmpl w:val="FC54A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13251"/>
    <w:multiLevelType w:val="hybridMultilevel"/>
    <w:tmpl w:val="07A220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036CF"/>
    <w:multiLevelType w:val="multilevel"/>
    <w:tmpl w:val="D1240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E1E4D"/>
    <w:multiLevelType w:val="hybridMultilevel"/>
    <w:tmpl w:val="3D9045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A934F2"/>
    <w:multiLevelType w:val="hybridMultilevel"/>
    <w:tmpl w:val="D656394A"/>
    <w:lvl w:ilvl="0" w:tplc="0A2CA1E6">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B57C62"/>
    <w:multiLevelType w:val="hybridMultilevel"/>
    <w:tmpl w:val="1F86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E618C"/>
    <w:multiLevelType w:val="hybridMultilevel"/>
    <w:tmpl w:val="26F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E4D6C"/>
    <w:multiLevelType w:val="hybridMultilevel"/>
    <w:tmpl w:val="55B09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4124C"/>
    <w:multiLevelType w:val="hybridMultilevel"/>
    <w:tmpl w:val="2F66B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94F94"/>
    <w:multiLevelType w:val="hybridMultilevel"/>
    <w:tmpl w:val="6664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F24A4"/>
    <w:multiLevelType w:val="hybridMultilevel"/>
    <w:tmpl w:val="A6B61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5D4D22"/>
    <w:multiLevelType w:val="hybridMultilevel"/>
    <w:tmpl w:val="B2C60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4628B"/>
    <w:multiLevelType w:val="hybridMultilevel"/>
    <w:tmpl w:val="6254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A4F96"/>
    <w:multiLevelType w:val="hybridMultilevel"/>
    <w:tmpl w:val="F45E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D66B8"/>
    <w:multiLevelType w:val="hybridMultilevel"/>
    <w:tmpl w:val="E2A8C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91678"/>
    <w:multiLevelType w:val="hybridMultilevel"/>
    <w:tmpl w:val="7F149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36ACC"/>
    <w:multiLevelType w:val="hybridMultilevel"/>
    <w:tmpl w:val="CFAEE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56D05"/>
    <w:multiLevelType w:val="hybridMultilevel"/>
    <w:tmpl w:val="5AF04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F42EBA"/>
    <w:multiLevelType w:val="hybridMultilevel"/>
    <w:tmpl w:val="CE88C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18433F"/>
    <w:multiLevelType w:val="hybridMultilevel"/>
    <w:tmpl w:val="039E3464"/>
    <w:lvl w:ilvl="0" w:tplc="0A2CA1E6">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7956FB"/>
    <w:multiLevelType w:val="hybridMultilevel"/>
    <w:tmpl w:val="5442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C77927"/>
    <w:multiLevelType w:val="hybridMultilevel"/>
    <w:tmpl w:val="2E5E2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8E5024"/>
    <w:multiLevelType w:val="hybridMultilevel"/>
    <w:tmpl w:val="789A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C1531"/>
    <w:multiLevelType w:val="hybridMultilevel"/>
    <w:tmpl w:val="486A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5621B"/>
    <w:multiLevelType w:val="hybridMultilevel"/>
    <w:tmpl w:val="709C70BC"/>
    <w:lvl w:ilvl="0" w:tplc="3558C2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C3618"/>
    <w:multiLevelType w:val="hybridMultilevel"/>
    <w:tmpl w:val="D448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F335D"/>
    <w:multiLevelType w:val="hybridMultilevel"/>
    <w:tmpl w:val="82CE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36E61"/>
    <w:multiLevelType w:val="hybridMultilevel"/>
    <w:tmpl w:val="8CA4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0"/>
  </w:num>
  <w:num w:numId="4">
    <w:abstractNumId w:val="21"/>
  </w:num>
  <w:num w:numId="5">
    <w:abstractNumId w:val="11"/>
  </w:num>
  <w:num w:numId="6">
    <w:abstractNumId w:val="3"/>
  </w:num>
  <w:num w:numId="7">
    <w:abstractNumId w:val="1"/>
  </w:num>
  <w:num w:numId="8">
    <w:abstractNumId w:val="25"/>
  </w:num>
  <w:num w:numId="9">
    <w:abstractNumId w:val="15"/>
  </w:num>
  <w:num w:numId="10">
    <w:abstractNumId w:val="5"/>
  </w:num>
  <w:num w:numId="11">
    <w:abstractNumId w:val="12"/>
  </w:num>
  <w:num w:numId="12">
    <w:abstractNumId w:val="2"/>
  </w:num>
  <w:num w:numId="13">
    <w:abstractNumId w:val="13"/>
  </w:num>
  <w:num w:numId="14">
    <w:abstractNumId w:val="18"/>
  </w:num>
  <w:num w:numId="15">
    <w:abstractNumId w:val="29"/>
  </w:num>
  <w:num w:numId="16">
    <w:abstractNumId w:val="4"/>
  </w:num>
  <w:num w:numId="17">
    <w:abstractNumId w:val="24"/>
  </w:num>
  <w:num w:numId="18">
    <w:abstractNumId w:val="19"/>
  </w:num>
  <w:num w:numId="19">
    <w:abstractNumId w:val="17"/>
  </w:num>
  <w:num w:numId="20">
    <w:abstractNumId w:val="14"/>
  </w:num>
  <w:num w:numId="21">
    <w:abstractNumId w:val="20"/>
  </w:num>
  <w:num w:numId="22">
    <w:abstractNumId w:val="28"/>
  </w:num>
  <w:num w:numId="23">
    <w:abstractNumId w:val="30"/>
  </w:num>
  <w:num w:numId="24">
    <w:abstractNumId w:val="9"/>
  </w:num>
  <w:num w:numId="25">
    <w:abstractNumId w:val="23"/>
  </w:num>
  <w:num w:numId="26">
    <w:abstractNumId w:val="27"/>
  </w:num>
  <w:num w:numId="27">
    <w:abstractNumId w:val="0"/>
  </w:num>
  <w:num w:numId="28">
    <w:abstractNumId w:val="22"/>
  </w:num>
  <w:num w:numId="29">
    <w:abstractNumId w:val="7"/>
  </w:num>
  <w:num w:numId="30">
    <w:abstractNumId w:val="1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94"/>
    <w:rsid w:val="00000743"/>
    <w:rsid w:val="00000CB8"/>
    <w:rsid w:val="000014CE"/>
    <w:rsid w:val="00001D4F"/>
    <w:rsid w:val="00007C0A"/>
    <w:rsid w:val="00012CA2"/>
    <w:rsid w:val="0002164B"/>
    <w:rsid w:val="00022B08"/>
    <w:rsid w:val="00024C7E"/>
    <w:rsid w:val="00026E5E"/>
    <w:rsid w:val="00030165"/>
    <w:rsid w:val="00032129"/>
    <w:rsid w:val="00033841"/>
    <w:rsid w:val="0003478A"/>
    <w:rsid w:val="00035B6A"/>
    <w:rsid w:val="000413AD"/>
    <w:rsid w:val="00043ADA"/>
    <w:rsid w:val="000459D0"/>
    <w:rsid w:val="00046885"/>
    <w:rsid w:val="00047530"/>
    <w:rsid w:val="000477E6"/>
    <w:rsid w:val="0005688A"/>
    <w:rsid w:val="000639F6"/>
    <w:rsid w:val="00063B95"/>
    <w:rsid w:val="00072D4C"/>
    <w:rsid w:val="00072DC8"/>
    <w:rsid w:val="00075C33"/>
    <w:rsid w:val="00083FEF"/>
    <w:rsid w:val="00092D4E"/>
    <w:rsid w:val="00094FED"/>
    <w:rsid w:val="00097DF7"/>
    <w:rsid w:val="000A068E"/>
    <w:rsid w:val="000A7C49"/>
    <w:rsid w:val="000B1F53"/>
    <w:rsid w:val="000B2712"/>
    <w:rsid w:val="000C1994"/>
    <w:rsid w:val="000C244B"/>
    <w:rsid w:val="000C684F"/>
    <w:rsid w:val="000C7C8C"/>
    <w:rsid w:val="000D0D99"/>
    <w:rsid w:val="000D3442"/>
    <w:rsid w:val="000E20ED"/>
    <w:rsid w:val="000E767D"/>
    <w:rsid w:val="00102ACF"/>
    <w:rsid w:val="001048C7"/>
    <w:rsid w:val="001108F4"/>
    <w:rsid w:val="001136D4"/>
    <w:rsid w:val="00115ADC"/>
    <w:rsid w:val="00124E8D"/>
    <w:rsid w:val="0012596C"/>
    <w:rsid w:val="001310C8"/>
    <w:rsid w:val="001330F3"/>
    <w:rsid w:val="001377D8"/>
    <w:rsid w:val="00140D02"/>
    <w:rsid w:val="001424C0"/>
    <w:rsid w:val="00142FA0"/>
    <w:rsid w:val="00151D03"/>
    <w:rsid w:val="00153442"/>
    <w:rsid w:val="00155644"/>
    <w:rsid w:val="00155EF7"/>
    <w:rsid w:val="001563C2"/>
    <w:rsid w:val="00162065"/>
    <w:rsid w:val="00163F37"/>
    <w:rsid w:val="001645AD"/>
    <w:rsid w:val="001661DF"/>
    <w:rsid w:val="00167072"/>
    <w:rsid w:val="00172F10"/>
    <w:rsid w:val="00173F35"/>
    <w:rsid w:val="00182BB9"/>
    <w:rsid w:val="00192C3A"/>
    <w:rsid w:val="0019665E"/>
    <w:rsid w:val="001A6A21"/>
    <w:rsid w:val="001B4195"/>
    <w:rsid w:val="001B5974"/>
    <w:rsid w:val="001B7C62"/>
    <w:rsid w:val="001C7A67"/>
    <w:rsid w:val="001D04DF"/>
    <w:rsid w:val="001D36D7"/>
    <w:rsid w:val="001F01CE"/>
    <w:rsid w:val="001F210E"/>
    <w:rsid w:val="001F21A0"/>
    <w:rsid w:val="001F2B9E"/>
    <w:rsid w:val="00202FAC"/>
    <w:rsid w:val="00205D20"/>
    <w:rsid w:val="00206B8B"/>
    <w:rsid w:val="00211AAD"/>
    <w:rsid w:val="00224E4D"/>
    <w:rsid w:val="002262F3"/>
    <w:rsid w:val="00230852"/>
    <w:rsid w:val="0023151A"/>
    <w:rsid w:val="0023168F"/>
    <w:rsid w:val="00236179"/>
    <w:rsid w:val="00236A6A"/>
    <w:rsid w:val="00237521"/>
    <w:rsid w:val="00237B8C"/>
    <w:rsid w:val="00240FE5"/>
    <w:rsid w:val="00244E0C"/>
    <w:rsid w:val="002451AD"/>
    <w:rsid w:val="00245392"/>
    <w:rsid w:val="002464DE"/>
    <w:rsid w:val="0025147A"/>
    <w:rsid w:val="00253A7F"/>
    <w:rsid w:val="00264352"/>
    <w:rsid w:val="0026450C"/>
    <w:rsid w:val="00270066"/>
    <w:rsid w:val="00271CD0"/>
    <w:rsid w:val="002720C1"/>
    <w:rsid w:val="00273BCF"/>
    <w:rsid w:val="002752DA"/>
    <w:rsid w:val="0028073D"/>
    <w:rsid w:val="002813C5"/>
    <w:rsid w:val="0028403B"/>
    <w:rsid w:val="00285CF2"/>
    <w:rsid w:val="00285D0D"/>
    <w:rsid w:val="00290A06"/>
    <w:rsid w:val="002A1AA5"/>
    <w:rsid w:val="002A2E14"/>
    <w:rsid w:val="002B1C25"/>
    <w:rsid w:val="002B58FE"/>
    <w:rsid w:val="002B7DAE"/>
    <w:rsid w:val="002C5146"/>
    <w:rsid w:val="002C528E"/>
    <w:rsid w:val="002C5D25"/>
    <w:rsid w:val="002C7F6B"/>
    <w:rsid w:val="002D20E5"/>
    <w:rsid w:val="002D2B4D"/>
    <w:rsid w:val="002D61B6"/>
    <w:rsid w:val="002D6557"/>
    <w:rsid w:val="002D71A3"/>
    <w:rsid w:val="002D7945"/>
    <w:rsid w:val="002E20C4"/>
    <w:rsid w:val="002E63D4"/>
    <w:rsid w:val="002E6604"/>
    <w:rsid w:val="002E7AE4"/>
    <w:rsid w:val="002F0BB6"/>
    <w:rsid w:val="002F3A79"/>
    <w:rsid w:val="002F496A"/>
    <w:rsid w:val="002F785B"/>
    <w:rsid w:val="003005B3"/>
    <w:rsid w:val="00303499"/>
    <w:rsid w:val="003044A6"/>
    <w:rsid w:val="0030465C"/>
    <w:rsid w:val="00311EAF"/>
    <w:rsid w:val="00315210"/>
    <w:rsid w:val="0032077F"/>
    <w:rsid w:val="00325D3A"/>
    <w:rsid w:val="00337849"/>
    <w:rsid w:val="00343003"/>
    <w:rsid w:val="003522D6"/>
    <w:rsid w:val="00356B3C"/>
    <w:rsid w:val="00356D37"/>
    <w:rsid w:val="00356E0D"/>
    <w:rsid w:val="00362E0F"/>
    <w:rsid w:val="00373E36"/>
    <w:rsid w:val="0037485B"/>
    <w:rsid w:val="0037515A"/>
    <w:rsid w:val="003765D2"/>
    <w:rsid w:val="00393E41"/>
    <w:rsid w:val="003A38C5"/>
    <w:rsid w:val="003A5CB0"/>
    <w:rsid w:val="003C37A0"/>
    <w:rsid w:val="003C4EE4"/>
    <w:rsid w:val="003D0618"/>
    <w:rsid w:val="003D2FEF"/>
    <w:rsid w:val="003D7EBB"/>
    <w:rsid w:val="003E457A"/>
    <w:rsid w:val="003F0DF7"/>
    <w:rsid w:val="003F3047"/>
    <w:rsid w:val="00407C66"/>
    <w:rsid w:val="004107DA"/>
    <w:rsid w:val="00410830"/>
    <w:rsid w:val="00415D01"/>
    <w:rsid w:val="00425EBB"/>
    <w:rsid w:val="0042656E"/>
    <w:rsid w:val="0043304D"/>
    <w:rsid w:val="004346BB"/>
    <w:rsid w:val="00434F0C"/>
    <w:rsid w:val="00440672"/>
    <w:rsid w:val="00445A2F"/>
    <w:rsid w:val="00451FCD"/>
    <w:rsid w:val="00455374"/>
    <w:rsid w:val="00457529"/>
    <w:rsid w:val="004606A8"/>
    <w:rsid w:val="0046391A"/>
    <w:rsid w:val="00464152"/>
    <w:rsid w:val="0047013B"/>
    <w:rsid w:val="00474644"/>
    <w:rsid w:val="004746C6"/>
    <w:rsid w:val="004747D8"/>
    <w:rsid w:val="004803D6"/>
    <w:rsid w:val="00493C88"/>
    <w:rsid w:val="00494D81"/>
    <w:rsid w:val="004B1517"/>
    <w:rsid w:val="004B20CF"/>
    <w:rsid w:val="004B505D"/>
    <w:rsid w:val="004B5F7F"/>
    <w:rsid w:val="004B6A39"/>
    <w:rsid w:val="004C22E6"/>
    <w:rsid w:val="004D00CC"/>
    <w:rsid w:val="004D07F9"/>
    <w:rsid w:val="004D2FD4"/>
    <w:rsid w:val="004E0850"/>
    <w:rsid w:val="004E201E"/>
    <w:rsid w:val="004E2F8A"/>
    <w:rsid w:val="004E4561"/>
    <w:rsid w:val="004F014A"/>
    <w:rsid w:val="004F1D14"/>
    <w:rsid w:val="004F3388"/>
    <w:rsid w:val="004F3CC6"/>
    <w:rsid w:val="004F58F8"/>
    <w:rsid w:val="004F7D59"/>
    <w:rsid w:val="0050243D"/>
    <w:rsid w:val="005073FE"/>
    <w:rsid w:val="00510B80"/>
    <w:rsid w:val="005150B5"/>
    <w:rsid w:val="005259FF"/>
    <w:rsid w:val="00526EE0"/>
    <w:rsid w:val="00530F6D"/>
    <w:rsid w:val="00531235"/>
    <w:rsid w:val="0053258A"/>
    <w:rsid w:val="00536807"/>
    <w:rsid w:val="00541B48"/>
    <w:rsid w:val="0054488B"/>
    <w:rsid w:val="0055191F"/>
    <w:rsid w:val="00553698"/>
    <w:rsid w:val="0055711A"/>
    <w:rsid w:val="0056354F"/>
    <w:rsid w:val="00563986"/>
    <w:rsid w:val="005806CE"/>
    <w:rsid w:val="005838B0"/>
    <w:rsid w:val="0058534F"/>
    <w:rsid w:val="0058659A"/>
    <w:rsid w:val="00592BAC"/>
    <w:rsid w:val="00596EA1"/>
    <w:rsid w:val="005A08D6"/>
    <w:rsid w:val="005A1AAF"/>
    <w:rsid w:val="005B1DCF"/>
    <w:rsid w:val="005C3B27"/>
    <w:rsid w:val="005C7B3C"/>
    <w:rsid w:val="005D483C"/>
    <w:rsid w:val="005D5348"/>
    <w:rsid w:val="005D608B"/>
    <w:rsid w:val="005E2757"/>
    <w:rsid w:val="005E4735"/>
    <w:rsid w:val="005E4A39"/>
    <w:rsid w:val="005E6B63"/>
    <w:rsid w:val="005F0AF5"/>
    <w:rsid w:val="005F1EA7"/>
    <w:rsid w:val="005F5F93"/>
    <w:rsid w:val="005F68A9"/>
    <w:rsid w:val="00600A51"/>
    <w:rsid w:val="0061036C"/>
    <w:rsid w:val="00613FD3"/>
    <w:rsid w:val="006258C9"/>
    <w:rsid w:val="0062727F"/>
    <w:rsid w:val="00630243"/>
    <w:rsid w:val="00630B41"/>
    <w:rsid w:val="00632DD9"/>
    <w:rsid w:val="00634CB7"/>
    <w:rsid w:val="00635CFF"/>
    <w:rsid w:val="00635F3D"/>
    <w:rsid w:val="006363CE"/>
    <w:rsid w:val="00644160"/>
    <w:rsid w:val="00644480"/>
    <w:rsid w:val="00650A98"/>
    <w:rsid w:val="006546D2"/>
    <w:rsid w:val="00660065"/>
    <w:rsid w:val="00661AED"/>
    <w:rsid w:val="006643E6"/>
    <w:rsid w:val="006707F2"/>
    <w:rsid w:val="00687859"/>
    <w:rsid w:val="006921F0"/>
    <w:rsid w:val="006932C6"/>
    <w:rsid w:val="00693782"/>
    <w:rsid w:val="006940EF"/>
    <w:rsid w:val="006A1CBF"/>
    <w:rsid w:val="006A6FD7"/>
    <w:rsid w:val="006A7077"/>
    <w:rsid w:val="006B6611"/>
    <w:rsid w:val="006B7944"/>
    <w:rsid w:val="006D0675"/>
    <w:rsid w:val="006D118A"/>
    <w:rsid w:val="006D4963"/>
    <w:rsid w:val="006D4AD9"/>
    <w:rsid w:val="006D774C"/>
    <w:rsid w:val="006F1A06"/>
    <w:rsid w:val="006F36E7"/>
    <w:rsid w:val="007007ED"/>
    <w:rsid w:val="0070084A"/>
    <w:rsid w:val="007028D5"/>
    <w:rsid w:val="0070367B"/>
    <w:rsid w:val="00710499"/>
    <w:rsid w:val="00714CA6"/>
    <w:rsid w:val="00715848"/>
    <w:rsid w:val="00715A4A"/>
    <w:rsid w:val="00734123"/>
    <w:rsid w:val="0073481D"/>
    <w:rsid w:val="00740A01"/>
    <w:rsid w:val="00750365"/>
    <w:rsid w:val="00750406"/>
    <w:rsid w:val="00752E7C"/>
    <w:rsid w:val="007566F5"/>
    <w:rsid w:val="00756F72"/>
    <w:rsid w:val="00757D56"/>
    <w:rsid w:val="0076070D"/>
    <w:rsid w:val="00760CA7"/>
    <w:rsid w:val="00761D86"/>
    <w:rsid w:val="00762E5C"/>
    <w:rsid w:val="007672AA"/>
    <w:rsid w:val="0076754E"/>
    <w:rsid w:val="00770536"/>
    <w:rsid w:val="00775C95"/>
    <w:rsid w:val="0077713B"/>
    <w:rsid w:val="00780A0F"/>
    <w:rsid w:val="0078119A"/>
    <w:rsid w:val="0078223B"/>
    <w:rsid w:val="00782B32"/>
    <w:rsid w:val="007902FC"/>
    <w:rsid w:val="0079433C"/>
    <w:rsid w:val="00795AA8"/>
    <w:rsid w:val="00795F08"/>
    <w:rsid w:val="00797746"/>
    <w:rsid w:val="007A0A88"/>
    <w:rsid w:val="007A1741"/>
    <w:rsid w:val="007A2D7B"/>
    <w:rsid w:val="007A59D6"/>
    <w:rsid w:val="007B2F12"/>
    <w:rsid w:val="007B4598"/>
    <w:rsid w:val="007B5A3C"/>
    <w:rsid w:val="007B5B39"/>
    <w:rsid w:val="007B5B8B"/>
    <w:rsid w:val="007C0AF0"/>
    <w:rsid w:val="007C1446"/>
    <w:rsid w:val="007C1DED"/>
    <w:rsid w:val="007D5A6E"/>
    <w:rsid w:val="007E1245"/>
    <w:rsid w:val="007E1A77"/>
    <w:rsid w:val="007E2A0F"/>
    <w:rsid w:val="007E3619"/>
    <w:rsid w:val="007F1840"/>
    <w:rsid w:val="008150FA"/>
    <w:rsid w:val="00821526"/>
    <w:rsid w:val="00821948"/>
    <w:rsid w:val="00823E51"/>
    <w:rsid w:val="00824DCF"/>
    <w:rsid w:val="00831D06"/>
    <w:rsid w:val="00832276"/>
    <w:rsid w:val="00833103"/>
    <w:rsid w:val="00841126"/>
    <w:rsid w:val="00841B19"/>
    <w:rsid w:val="00844AF5"/>
    <w:rsid w:val="00847A32"/>
    <w:rsid w:val="00853A73"/>
    <w:rsid w:val="0085600B"/>
    <w:rsid w:val="00857617"/>
    <w:rsid w:val="00862329"/>
    <w:rsid w:val="00866446"/>
    <w:rsid w:val="00867671"/>
    <w:rsid w:val="00887811"/>
    <w:rsid w:val="008919CD"/>
    <w:rsid w:val="008A11F0"/>
    <w:rsid w:val="008A17D9"/>
    <w:rsid w:val="008C2A9F"/>
    <w:rsid w:val="008D1928"/>
    <w:rsid w:val="008D574E"/>
    <w:rsid w:val="008D6C9A"/>
    <w:rsid w:val="008D6DB3"/>
    <w:rsid w:val="008E102C"/>
    <w:rsid w:val="008E2741"/>
    <w:rsid w:val="008E2D9F"/>
    <w:rsid w:val="008E6B87"/>
    <w:rsid w:val="008F04A7"/>
    <w:rsid w:val="008F0EEC"/>
    <w:rsid w:val="008F6D63"/>
    <w:rsid w:val="009027AF"/>
    <w:rsid w:val="0090495A"/>
    <w:rsid w:val="00904C9D"/>
    <w:rsid w:val="00905178"/>
    <w:rsid w:val="00905879"/>
    <w:rsid w:val="00906B7B"/>
    <w:rsid w:val="0091271B"/>
    <w:rsid w:val="009148F0"/>
    <w:rsid w:val="00914C7A"/>
    <w:rsid w:val="00915BD9"/>
    <w:rsid w:val="00926E70"/>
    <w:rsid w:val="009323DB"/>
    <w:rsid w:val="00937DA3"/>
    <w:rsid w:val="00940CE6"/>
    <w:rsid w:val="00943C36"/>
    <w:rsid w:val="009449AB"/>
    <w:rsid w:val="00946721"/>
    <w:rsid w:val="00946C1B"/>
    <w:rsid w:val="0094722F"/>
    <w:rsid w:val="00947D36"/>
    <w:rsid w:val="0095144D"/>
    <w:rsid w:val="00953206"/>
    <w:rsid w:val="0095588C"/>
    <w:rsid w:val="00955DD8"/>
    <w:rsid w:val="00963309"/>
    <w:rsid w:val="00965649"/>
    <w:rsid w:val="00970660"/>
    <w:rsid w:val="0097658D"/>
    <w:rsid w:val="00981D36"/>
    <w:rsid w:val="00982A48"/>
    <w:rsid w:val="009852A3"/>
    <w:rsid w:val="00985558"/>
    <w:rsid w:val="00986B6F"/>
    <w:rsid w:val="009900B1"/>
    <w:rsid w:val="00991CF9"/>
    <w:rsid w:val="00992E21"/>
    <w:rsid w:val="00996714"/>
    <w:rsid w:val="009A25B8"/>
    <w:rsid w:val="009A4986"/>
    <w:rsid w:val="009B02E2"/>
    <w:rsid w:val="009B3C6F"/>
    <w:rsid w:val="009B5F29"/>
    <w:rsid w:val="009C11B6"/>
    <w:rsid w:val="009C3E95"/>
    <w:rsid w:val="009C5EEF"/>
    <w:rsid w:val="009D17F1"/>
    <w:rsid w:val="009D188A"/>
    <w:rsid w:val="009D1F6C"/>
    <w:rsid w:val="009D5554"/>
    <w:rsid w:val="009D723E"/>
    <w:rsid w:val="009E3446"/>
    <w:rsid w:val="009E3838"/>
    <w:rsid w:val="009E44B2"/>
    <w:rsid w:val="009E651B"/>
    <w:rsid w:val="009F2007"/>
    <w:rsid w:val="009F63C7"/>
    <w:rsid w:val="009F6F18"/>
    <w:rsid w:val="009F7928"/>
    <w:rsid w:val="00A040C8"/>
    <w:rsid w:val="00A05AD9"/>
    <w:rsid w:val="00A06730"/>
    <w:rsid w:val="00A21FFE"/>
    <w:rsid w:val="00A23F8A"/>
    <w:rsid w:val="00A241C1"/>
    <w:rsid w:val="00A25894"/>
    <w:rsid w:val="00A30CF2"/>
    <w:rsid w:val="00A45811"/>
    <w:rsid w:val="00A478B3"/>
    <w:rsid w:val="00A51343"/>
    <w:rsid w:val="00A52F5D"/>
    <w:rsid w:val="00A548D3"/>
    <w:rsid w:val="00A57B71"/>
    <w:rsid w:val="00A626DE"/>
    <w:rsid w:val="00A6429C"/>
    <w:rsid w:val="00A64F20"/>
    <w:rsid w:val="00A77EBD"/>
    <w:rsid w:val="00A85303"/>
    <w:rsid w:val="00A857ED"/>
    <w:rsid w:val="00A85AE2"/>
    <w:rsid w:val="00A902ED"/>
    <w:rsid w:val="00A936CE"/>
    <w:rsid w:val="00A963EE"/>
    <w:rsid w:val="00A96F14"/>
    <w:rsid w:val="00A97B25"/>
    <w:rsid w:val="00AB1FB6"/>
    <w:rsid w:val="00AC0977"/>
    <w:rsid w:val="00AC09A1"/>
    <w:rsid w:val="00AC0EDA"/>
    <w:rsid w:val="00AC69BE"/>
    <w:rsid w:val="00AC7F4D"/>
    <w:rsid w:val="00AD5F8C"/>
    <w:rsid w:val="00AE4343"/>
    <w:rsid w:val="00AE472C"/>
    <w:rsid w:val="00AF3F58"/>
    <w:rsid w:val="00AF6661"/>
    <w:rsid w:val="00B039E3"/>
    <w:rsid w:val="00B04366"/>
    <w:rsid w:val="00B058AB"/>
    <w:rsid w:val="00B07E84"/>
    <w:rsid w:val="00B16440"/>
    <w:rsid w:val="00B17525"/>
    <w:rsid w:val="00B275D5"/>
    <w:rsid w:val="00B32263"/>
    <w:rsid w:val="00B34657"/>
    <w:rsid w:val="00B35703"/>
    <w:rsid w:val="00B42B2C"/>
    <w:rsid w:val="00B4388A"/>
    <w:rsid w:val="00B44B2A"/>
    <w:rsid w:val="00B50594"/>
    <w:rsid w:val="00B56244"/>
    <w:rsid w:val="00B57B3C"/>
    <w:rsid w:val="00B606A7"/>
    <w:rsid w:val="00B63829"/>
    <w:rsid w:val="00B71833"/>
    <w:rsid w:val="00B83798"/>
    <w:rsid w:val="00B84183"/>
    <w:rsid w:val="00B87716"/>
    <w:rsid w:val="00B90D25"/>
    <w:rsid w:val="00B910BB"/>
    <w:rsid w:val="00B92037"/>
    <w:rsid w:val="00B9277A"/>
    <w:rsid w:val="00B96B50"/>
    <w:rsid w:val="00BA1CEF"/>
    <w:rsid w:val="00BA38B4"/>
    <w:rsid w:val="00BA3CA5"/>
    <w:rsid w:val="00BA4835"/>
    <w:rsid w:val="00BA4C89"/>
    <w:rsid w:val="00BB5A21"/>
    <w:rsid w:val="00BC2770"/>
    <w:rsid w:val="00BC3DEF"/>
    <w:rsid w:val="00BC78FC"/>
    <w:rsid w:val="00BD2FB9"/>
    <w:rsid w:val="00BD61B2"/>
    <w:rsid w:val="00BE32F2"/>
    <w:rsid w:val="00BE65AB"/>
    <w:rsid w:val="00BE711D"/>
    <w:rsid w:val="00BE74CD"/>
    <w:rsid w:val="00BE755E"/>
    <w:rsid w:val="00BE7C8E"/>
    <w:rsid w:val="00BF2C96"/>
    <w:rsid w:val="00C02C8C"/>
    <w:rsid w:val="00C02CDB"/>
    <w:rsid w:val="00C07EF2"/>
    <w:rsid w:val="00C126CB"/>
    <w:rsid w:val="00C128FF"/>
    <w:rsid w:val="00C15647"/>
    <w:rsid w:val="00C17B33"/>
    <w:rsid w:val="00C200F6"/>
    <w:rsid w:val="00C24447"/>
    <w:rsid w:val="00C25975"/>
    <w:rsid w:val="00C3119C"/>
    <w:rsid w:val="00C367EC"/>
    <w:rsid w:val="00C4257D"/>
    <w:rsid w:val="00C429CE"/>
    <w:rsid w:val="00C45CD0"/>
    <w:rsid w:val="00C554CB"/>
    <w:rsid w:val="00C604E0"/>
    <w:rsid w:val="00C66ABA"/>
    <w:rsid w:val="00C66F2D"/>
    <w:rsid w:val="00C7472F"/>
    <w:rsid w:val="00C81EB3"/>
    <w:rsid w:val="00C84E52"/>
    <w:rsid w:val="00C84FB7"/>
    <w:rsid w:val="00C9151F"/>
    <w:rsid w:val="00C91721"/>
    <w:rsid w:val="00CA3072"/>
    <w:rsid w:val="00CA437A"/>
    <w:rsid w:val="00CA5A22"/>
    <w:rsid w:val="00CA70E7"/>
    <w:rsid w:val="00CA7D18"/>
    <w:rsid w:val="00CB11FC"/>
    <w:rsid w:val="00CB1861"/>
    <w:rsid w:val="00CB4591"/>
    <w:rsid w:val="00CB5FB0"/>
    <w:rsid w:val="00CC347C"/>
    <w:rsid w:val="00CC3729"/>
    <w:rsid w:val="00CC3846"/>
    <w:rsid w:val="00CC46C0"/>
    <w:rsid w:val="00CC7F7C"/>
    <w:rsid w:val="00CE10B1"/>
    <w:rsid w:val="00CE1286"/>
    <w:rsid w:val="00CE7BB7"/>
    <w:rsid w:val="00CF4446"/>
    <w:rsid w:val="00CF53AB"/>
    <w:rsid w:val="00CF5B24"/>
    <w:rsid w:val="00CF6705"/>
    <w:rsid w:val="00D003AB"/>
    <w:rsid w:val="00D125AC"/>
    <w:rsid w:val="00D153CF"/>
    <w:rsid w:val="00D17374"/>
    <w:rsid w:val="00D227A4"/>
    <w:rsid w:val="00D23619"/>
    <w:rsid w:val="00D31CB4"/>
    <w:rsid w:val="00D32BDD"/>
    <w:rsid w:val="00D410C6"/>
    <w:rsid w:val="00D4652F"/>
    <w:rsid w:val="00D50D40"/>
    <w:rsid w:val="00D5752A"/>
    <w:rsid w:val="00D60812"/>
    <w:rsid w:val="00D61865"/>
    <w:rsid w:val="00D6305D"/>
    <w:rsid w:val="00D63350"/>
    <w:rsid w:val="00D640C5"/>
    <w:rsid w:val="00D64FDB"/>
    <w:rsid w:val="00D71379"/>
    <w:rsid w:val="00D715AF"/>
    <w:rsid w:val="00D75B30"/>
    <w:rsid w:val="00D816CE"/>
    <w:rsid w:val="00D81D02"/>
    <w:rsid w:val="00D84D21"/>
    <w:rsid w:val="00D85A3F"/>
    <w:rsid w:val="00D92627"/>
    <w:rsid w:val="00D935C0"/>
    <w:rsid w:val="00D95808"/>
    <w:rsid w:val="00D960C7"/>
    <w:rsid w:val="00D963F0"/>
    <w:rsid w:val="00D96CB9"/>
    <w:rsid w:val="00D971E0"/>
    <w:rsid w:val="00DA1486"/>
    <w:rsid w:val="00DA30B2"/>
    <w:rsid w:val="00DA3549"/>
    <w:rsid w:val="00DB1B76"/>
    <w:rsid w:val="00DB64EE"/>
    <w:rsid w:val="00DC7068"/>
    <w:rsid w:val="00DC7B10"/>
    <w:rsid w:val="00DD49D7"/>
    <w:rsid w:val="00DD5D8D"/>
    <w:rsid w:val="00DE6001"/>
    <w:rsid w:val="00DF2326"/>
    <w:rsid w:val="00DF2D34"/>
    <w:rsid w:val="00DF3274"/>
    <w:rsid w:val="00DF42CA"/>
    <w:rsid w:val="00E00A2E"/>
    <w:rsid w:val="00E0686F"/>
    <w:rsid w:val="00E07F60"/>
    <w:rsid w:val="00E126C6"/>
    <w:rsid w:val="00E14EC4"/>
    <w:rsid w:val="00E17E79"/>
    <w:rsid w:val="00E17EB2"/>
    <w:rsid w:val="00E201AE"/>
    <w:rsid w:val="00E22457"/>
    <w:rsid w:val="00E25E0E"/>
    <w:rsid w:val="00E2675E"/>
    <w:rsid w:val="00E26DC3"/>
    <w:rsid w:val="00E2729C"/>
    <w:rsid w:val="00E300F3"/>
    <w:rsid w:val="00E30F39"/>
    <w:rsid w:val="00E33B7F"/>
    <w:rsid w:val="00E34121"/>
    <w:rsid w:val="00E358F7"/>
    <w:rsid w:val="00E35EA0"/>
    <w:rsid w:val="00E40664"/>
    <w:rsid w:val="00E430BE"/>
    <w:rsid w:val="00E439C1"/>
    <w:rsid w:val="00E51C87"/>
    <w:rsid w:val="00E53CC3"/>
    <w:rsid w:val="00E56CEC"/>
    <w:rsid w:val="00E649E2"/>
    <w:rsid w:val="00E65635"/>
    <w:rsid w:val="00E73C57"/>
    <w:rsid w:val="00E7635E"/>
    <w:rsid w:val="00E803ED"/>
    <w:rsid w:val="00E83586"/>
    <w:rsid w:val="00E83E7C"/>
    <w:rsid w:val="00E84751"/>
    <w:rsid w:val="00E86BF7"/>
    <w:rsid w:val="00E87BF6"/>
    <w:rsid w:val="00E90EBE"/>
    <w:rsid w:val="00E92594"/>
    <w:rsid w:val="00E9292F"/>
    <w:rsid w:val="00EA4B3B"/>
    <w:rsid w:val="00EB4E26"/>
    <w:rsid w:val="00EC5551"/>
    <w:rsid w:val="00EC6FF9"/>
    <w:rsid w:val="00EE186C"/>
    <w:rsid w:val="00EE4D8D"/>
    <w:rsid w:val="00EE4E2F"/>
    <w:rsid w:val="00EF0213"/>
    <w:rsid w:val="00EF3AB5"/>
    <w:rsid w:val="00EF555B"/>
    <w:rsid w:val="00F0237E"/>
    <w:rsid w:val="00F0371A"/>
    <w:rsid w:val="00F03C1D"/>
    <w:rsid w:val="00F053E4"/>
    <w:rsid w:val="00F12D60"/>
    <w:rsid w:val="00F15C4A"/>
    <w:rsid w:val="00F317A3"/>
    <w:rsid w:val="00F330E1"/>
    <w:rsid w:val="00F35704"/>
    <w:rsid w:val="00F535C7"/>
    <w:rsid w:val="00F5710C"/>
    <w:rsid w:val="00F57E55"/>
    <w:rsid w:val="00F61218"/>
    <w:rsid w:val="00F61478"/>
    <w:rsid w:val="00F6386B"/>
    <w:rsid w:val="00F67829"/>
    <w:rsid w:val="00F72BA2"/>
    <w:rsid w:val="00F76623"/>
    <w:rsid w:val="00F80207"/>
    <w:rsid w:val="00F83388"/>
    <w:rsid w:val="00F872CC"/>
    <w:rsid w:val="00F968C1"/>
    <w:rsid w:val="00FA09DD"/>
    <w:rsid w:val="00FA1DAC"/>
    <w:rsid w:val="00FA2FCE"/>
    <w:rsid w:val="00FA4358"/>
    <w:rsid w:val="00FA44F1"/>
    <w:rsid w:val="00FA559E"/>
    <w:rsid w:val="00FB11E4"/>
    <w:rsid w:val="00FB5681"/>
    <w:rsid w:val="00FB69D9"/>
    <w:rsid w:val="00FB6C77"/>
    <w:rsid w:val="00FC25D3"/>
    <w:rsid w:val="00FC54B5"/>
    <w:rsid w:val="00FD0706"/>
    <w:rsid w:val="00FE0CC0"/>
    <w:rsid w:val="00FE2A99"/>
    <w:rsid w:val="00FE3AD9"/>
    <w:rsid w:val="00FE6172"/>
    <w:rsid w:val="00FF4EC7"/>
    <w:rsid w:val="00FF557A"/>
    <w:rsid w:val="00FF7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2AECD"/>
  <w15:chartTrackingRefBased/>
  <w15:docId w15:val="{6E5ACD1C-6FBC-4A30-8FEC-02F74A40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68E"/>
  </w:style>
  <w:style w:type="paragraph" w:styleId="Heading1">
    <w:name w:val="heading 1"/>
    <w:basedOn w:val="Normal"/>
    <w:next w:val="Normal"/>
    <w:link w:val="Heading1Char"/>
    <w:uiPriority w:val="9"/>
    <w:qFormat/>
    <w:rsid w:val="00B505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5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29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29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29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594"/>
  </w:style>
  <w:style w:type="paragraph" w:styleId="Footer">
    <w:name w:val="footer"/>
    <w:basedOn w:val="Normal"/>
    <w:link w:val="FooterChar"/>
    <w:uiPriority w:val="99"/>
    <w:unhideWhenUsed/>
    <w:rsid w:val="00B50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594"/>
  </w:style>
  <w:style w:type="paragraph" w:styleId="ListParagraph">
    <w:name w:val="List Paragraph"/>
    <w:basedOn w:val="Normal"/>
    <w:uiPriority w:val="34"/>
    <w:qFormat/>
    <w:rsid w:val="00B50594"/>
    <w:pPr>
      <w:ind w:left="720"/>
      <w:contextualSpacing/>
    </w:pPr>
  </w:style>
  <w:style w:type="character" w:customStyle="1" w:styleId="Heading1Char">
    <w:name w:val="Heading 1 Char"/>
    <w:basedOn w:val="DefaultParagraphFont"/>
    <w:link w:val="Heading1"/>
    <w:uiPriority w:val="9"/>
    <w:rsid w:val="00B5059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A1DAC"/>
    <w:rPr>
      <w:sz w:val="16"/>
      <w:szCs w:val="16"/>
    </w:rPr>
  </w:style>
  <w:style w:type="paragraph" w:styleId="CommentText">
    <w:name w:val="annotation text"/>
    <w:basedOn w:val="Normal"/>
    <w:link w:val="CommentTextChar"/>
    <w:uiPriority w:val="99"/>
    <w:unhideWhenUsed/>
    <w:rsid w:val="00FA1DAC"/>
    <w:pPr>
      <w:spacing w:line="240" w:lineRule="auto"/>
    </w:pPr>
    <w:rPr>
      <w:sz w:val="20"/>
      <w:szCs w:val="20"/>
    </w:rPr>
  </w:style>
  <w:style w:type="character" w:customStyle="1" w:styleId="CommentTextChar">
    <w:name w:val="Comment Text Char"/>
    <w:basedOn w:val="DefaultParagraphFont"/>
    <w:link w:val="CommentText"/>
    <w:uiPriority w:val="99"/>
    <w:rsid w:val="00FA1DAC"/>
    <w:rPr>
      <w:sz w:val="20"/>
      <w:szCs w:val="20"/>
    </w:rPr>
  </w:style>
  <w:style w:type="paragraph" w:styleId="CommentSubject">
    <w:name w:val="annotation subject"/>
    <w:basedOn w:val="CommentText"/>
    <w:next w:val="CommentText"/>
    <w:link w:val="CommentSubjectChar"/>
    <w:uiPriority w:val="99"/>
    <w:semiHidden/>
    <w:unhideWhenUsed/>
    <w:rsid w:val="00FA1DAC"/>
    <w:rPr>
      <w:b/>
      <w:bCs/>
    </w:rPr>
  </w:style>
  <w:style w:type="character" w:customStyle="1" w:styleId="CommentSubjectChar">
    <w:name w:val="Comment Subject Char"/>
    <w:basedOn w:val="CommentTextChar"/>
    <w:link w:val="CommentSubject"/>
    <w:uiPriority w:val="99"/>
    <w:semiHidden/>
    <w:rsid w:val="00FA1DAC"/>
    <w:rPr>
      <w:b/>
      <w:bCs/>
      <w:sz w:val="20"/>
      <w:szCs w:val="20"/>
    </w:rPr>
  </w:style>
  <w:style w:type="paragraph" w:styleId="BalloonText">
    <w:name w:val="Balloon Text"/>
    <w:basedOn w:val="Normal"/>
    <w:link w:val="BalloonTextChar"/>
    <w:uiPriority w:val="99"/>
    <w:semiHidden/>
    <w:unhideWhenUsed/>
    <w:rsid w:val="00FA1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DAC"/>
    <w:rPr>
      <w:rFonts w:ascii="Segoe UI" w:hAnsi="Segoe UI" w:cs="Segoe UI"/>
      <w:sz w:val="18"/>
      <w:szCs w:val="18"/>
    </w:rPr>
  </w:style>
  <w:style w:type="character" w:styleId="Hyperlink">
    <w:name w:val="Hyperlink"/>
    <w:basedOn w:val="DefaultParagraphFont"/>
    <w:uiPriority w:val="99"/>
    <w:unhideWhenUsed/>
    <w:rsid w:val="00BE755E"/>
    <w:rPr>
      <w:color w:val="0563C1" w:themeColor="hyperlink"/>
      <w:u w:val="single"/>
    </w:rPr>
  </w:style>
  <w:style w:type="character" w:customStyle="1" w:styleId="Heading2Char">
    <w:name w:val="Heading 2 Char"/>
    <w:basedOn w:val="DefaultParagraphFont"/>
    <w:link w:val="Heading2"/>
    <w:uiPriority w:val="9"/>
    <w:rsid w:val="00EF55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29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29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9292F"/>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E83E7C"/>
    <w:pPr>
      <w:outlineLvl w:val="9"/>
    </w:pPr>
    <w:rPr>
      <w:lang w:val="en-US"/>
    </w:rPr>
  </w:style>
  <w:style w:type="paragraph" w:styleId="TOC1">
    <w:name w:val="toc 1"/>
    <w:basedOn w:val="Normal"/>
    <w:next w:val="Normal"/>
    <w:autoRedefine/>
    <w:uiPriority w:val="39"/>
    <w:unhideWhenUsed/>
    <w:rsid w:val="00E83E7C"/>
    <w:pPr>
      <w:spacing w:after="100"/>
    </w:pPr>
  </w:style>
  <w:style w:type="paragraph" w:styleId="TOC2">
    <w:name w:val="toc 2"/>
    <w:basedOn w:val="Normal"/>
    <w:next w:val="Normal"/>
    <w:autoRedefine/>
    <w:uiPriority w:val="39"/>
    <w:unhideWhenUsed/>
    <w:rsid w:val="00E83E7C"/>
    <w:pPr>
      <w:spacing w:after="100"/>
      <w:ind w:left="220"/>
    </w:pPr>
  </w:style>
  <w:style w:type="paragraph" w:styleId="TOC3">
    <w:name w:val="toc 3"/>
    <w:basedOn w:val="Normal"/>
    <w:next w:val="Normal"/>
    <w:autoRedefine/>
    <w:uiPriority w:val="39"/>
    <w:unhideWhenUsed/>
    <w:rsid w:val="00E83E7C"/>
    <w:pPr>
      <w:spacing w:after="100"/>
      <w:ind w:left="440"/>
    </w:pPr>
  </w:style>
  <w:style w:type="character" w:styleId="PlaceholderText">
    <w:name w:val="Placeholder Text"/>
    <w:basedOn w:val="DefaultParagraphFont"/>
    <w:uiPriority w:val="99"/>
    <w:semiHidden/>
    <w:rsid w:val="00244E0C"/>
    <w:rPr>
      <w:color w:val="808080"/>
    </w:rPr>
  </w:style>
  <w:style w:type="paragraph" w:customStyle="1" w:styleId="table">
    <w:name w:val="table"/>
    <w:basedOn w:val="Normal"/>
    <w:link w:val="tableChar"/>
    <w:qFormat/>
    <w:rsid w:val="00592BAC"/>
    <w:pPr>
      <w:spacing w:after="0" w:line="240" w:lineRule="auto"/>
      <w:contextualSpacing/>
      <w:jc w:val="both"/>
    </w:pPr>
    <w:rPr>
      <w:rFonts w:ascii="Calibri" w:eastAsia="Times New Roman" w:hAnsi="Calibri" w:cs="Arial"/>
      <w:color w:val="000000"/>
      <w:sz w:val="20"/>
    </w:rPr>
  </w:style>
  <w:style w:type="character" w:customStyle="1" w:styleId="tableChar">
    <w:name w:val="table Char"/>
    <w:link w:val="table"/>
    <w:rsid w:val="00592BAC"/>
    <w:rPr>
      <w:rFonts w:ascii="Calibri" w:eastAsia="Times New Roman" w:hAnsi="Calibri" w:cs="Arial"/>
      <w:color w:val="000000"/>
      <w:sz w:val="20"/>
    </w:rPr>
  </w:style>
  <w:style w:type="table" w:styleId="TableGrid">
    <w:name w:val="Table Grid"/>
    <w:basedOn w:val="TableNormal"/>
    <w:uiPriority w:val="39"/>
    <w:rsid w:val="005C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2FB9"/>
    <w:pPr>
      <w:spacing w:after="0" w:line="240" w:lineRule="auto"/>
    </w:pPr>
  </w:style>
  <w:style w:type="character" w:customStyle="1" w:styleId="UnresolvedMention1">
    <w:name w:val="Unresolved Mention1"/>
    <w:basedOn w:val="DefaultParagraphFont"/>
    <w:uiPriority w:val="99"/>
    <w:semiHidden/>
    <w:unhideWhenUsed/>
    <w:rsid w:val="00CC3846"/>
    <w:rPr>
      <w:color w:val="605E5C"/>
      <w:shd w:val="clear" w:color="auto" w:fill="E1DFDD"/>
    </w:rPr>
  </w:style>
  <w:style w:type="character" w:styleId="FollowedHyperlink">
    <w:name w:val="FollowedHyperlink"/>
    <w:basedOn w:val="DefaultParagraphFont"/>
    <w:uiPriority w:val="99"/>
    <w:semiHidden/>
    <w:unhideWhenUsed/>
    <w:rsid w:val="005D4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9303">
      <w:bodyDiv w:val="1"/>
      <w:marLeft w:val="0"/>
      <w:marRight w:val="0"/>
      <w:marTop w:val="0"/>
      <w:marBottom w:val="0"/>
      <w:divBdr>
        <w:top w:val="none" w:sz="0" w:space="0" w:color="auto"/>
        <w:left w:val="none" w:sz="0" w:space="0" w:color="auto"/>
        <w:bottom w:val="none" w:sz="0" w:space="0" w:color="auto"/>
        <w:right w:val="none" w:sz="0" w:space="0" w:color="auto"/>
      </w:divBdr>
    </w:div>
    <w:div w:id="681013353">
      <w:bodyDiv w:val="1"/>
      <w:marLeft w:val="0"/>
      <w:marRight w:val="0"/>
      <w:marTop w:val="0"/>
      <w:marBottom w:val="0"/>
      <w:divBdr>
        <w:top w:val="none" w:sz="0" w:space="0" w:color="auto"/>
        <w:left w:val="none" w:sz="0" w:space="0" w:color="auto"/>
        <w:bottom w:val="none" w:sz="0" w:space="0" w:color="auto"/>
        <w:right w:val="none" w:sz="0" w:space="0" w:color="auto"/>
      </w:divBdr>
    </w:div>
    <w:div w:id="12081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H.Dataresearch@nhs.net" TargetMode="External"/><Relationship Id="rId18" Type="http://schemas.openxmlformats.org/officeDocument/2006/relationships/hyperlink" Target="mailto:cuh.rdhonorary@nhs.net" TargetMode="External"/><Relationship Id="rId26" Type="http://schemas.openxmlformats.org/officeDocument/2006/relationships/hyperlink" Target="https://www.hra.nhs.uk/planning-and-improving-research/application-summaries/research-summaries/erin-ehr-research-and-innovation-database/" TargetMode="External"/><Relationship Id="rId39" Type="http://schemas.openxmlformats.org/officeDocument/2006/relationships/hyperlink" Target="https://ico.org.uk/for-organisations/uk-gdpr-guidance-and-resources/data-protection-principles/a-guide-to-the-data-protection-principles/storage-limitation/" TargetMode="External"/><Relationship Id="rId21" Type="http://schemas.openxmlformats.org/officeDocument/2006/relationships/hyperlink" Target="mailto:insurance@admin.cam.ac.uk" TargetMode="External"/><Relationship Id="rId34" Type="http://schemas.openxmlformats.org/officeDocument/2006/relationships/hyperlink" Target="https://www.hra.nhs.uk/planning-and-improving-research/best-practice/public-involvement/" TargetMode="External"/><Relationship Id="rId42" Type="http://schemas.openxmlformats.org/officeDocument/2006/relationships/hyperlink" Target="https://www.hpc.cam.ac.uk/secure-research-computing" TargetMode="External"/><Relationship Id="rId47" Type="http://schemas.openxmlformats.org/officeDocument/2006/relationships/hyperlink" Target="https://www.cuhconnect.nhs.uk/our-structure/a-z-teams/chief-nurse/safety-and-quality-support/patient-outcomes-team/" TargetMode="External"/><Relationship Id="rId50" Type="http://schemas.openxmlformats.org/officeDocument/2006/relationships/hyperlink" Target="https://www.hra.nhs.uk/planning-and-improving-research/research-planning/how-were-supporting-data-driven-technology/overview-legal-requirements-using-health-and-care-data-development-and-deployment-data-driven-technologies/5-definitions-alphabetical/" TargetMode="External"/><Relationship Id="rId55" Type="http://schemas.openxmlformats.org/officeDocument/2006/relationships/hyperlink" Target="https://www.hra.nhs.uk/planning-and-improving-research/research-planning/protocol/" TargetMode="External"/><Relationship Id="rId63" Type="http://schemas.openxmlformats.org/officeDocument/2006/relationships/hyperlink" Target="https://www.hra.nhs.uk/planning-and-improving-research/policies-standards-legislation/uk-policy-framework-health-social-care-research/uk-policy-framework-health-and-social-care-research/"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uh.rdfinance@nhs.net" TargetMode="External"/><Relationship Id="rId29" Type="http://schemas.openxmlformats.org/officeDocument/2006/relationships/hyperlink" Target="https://www.hra.nhs.uk/planning-and-improving-research/policies-standards-legislation/uk-policy-framework-health-social-care-research/uk-policy-framework-health-and-social-care-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cuhconnect.nhs.uk/our-structure/a-z-teams/chief-nurse/safety-and-quality-support/patient-outcomes-team/" TargetMode="External"/><Relationship Id="rId32" Type="http://schemas.openxmlformats.org/officeDocument/2006/relationships/hyperlink" Target="mailto:insurance@admin.cam.ac.uk" TargetMode="External"/><Relationship Id="rId37" Type="http://schemas.openxmlformats.org/officeDocument/2006/relationships/hyperlink" Target="https://www.digitalregulations.innovation.nhs.uk/" TargetMode="External"/><Relationship Id="rId40" Type="http://schemas.openxmlformats.org/officeDocument/2006/relationships/hyperlink" Target="https://www.dsptoolkit.nhs.uk/" TargetMode="External"/><Relationship Id="rId45" Type="http://schemas.openxmlformats.org/officeDocument/2006/relationships/hyperlink" Target="https://www.gov.uk/government/publications/better-broader-safer-using-health-data-for-research-and-analysis" TargetMode="External"/><Relationship Id="rId53" Type="http://schemas.openxmlformats.org/officeDocument/2006/relationships/hyperlink" Target="https://www.hra-decisiontools.org.uk/research/" TargetMode="External"/><Relationship Id="rId58" Type="http://schemas.openxmlformats.org/officeDocument/2006/relationships/hyperlink" Target="https://www.myresearchproject.org.uk/help/hlpsitespecific.aspx"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uh.patientoutcomes@nhs.net" TargetMode="External"/><Relationship Id="rId23" Type="http://schemas.openxmlformats.org/officeDocument/2006/relationships/hyperlink" Target="https://www.hra-decisiontools.org.uk/research/" TargetMode="External"/><Relationship Id="rId28" Type="http://schemas.openxmlformats.org/officeDocument/2006/relationships/image" Target="media/image3.emf"/><Relationship Id="rId36" Type="http://schemas.openxmlformats.org/officeDocument/2006/relationships/hyperlink" Target="mailto:cuh.rdhonorary@nhs.net" TargetMode="External"/><Relationship Id="rId49" Type="http://schemas.openxmlformats.org/officeDocument/2006/relationships/hyperlink" Target="https://www.gov.uk/government/publications/data-saves-lives-reshaping-health-and-social-care-with-data/data-saves-lives-reshaping-health-and-social-care-with-data" TargetMode="External"/><Relationship Id="rId57" Type="http://schemas.openxmlformats.org/officeDocument/2006/relationships/hyperlink" Target="https://www.myresearchproject.org.uk/Help/HelpPage.aspx" TargetMode="External"/><Relationship Id="rId61" Type="http://schemas.openxmlformats.org/officeDocument/2006/relationships/hyperlink" Target="https://www.dsptoolkit.nhs.uk/" TargetMode="External"/><Relationship Id="rId10" Type="http://schemas.openxmlformats.org/officeDocument/2006/relationships/image" Target="media/image1.jpeg"/><Relationship Id="rId19" Type="http://schemas.openxmlformats.org/officeDocument/2006/relationships/hyperlink" Target="mailto:cuh.ppi@nhs.net" TargetMode="External"/><Relationship Id="rId31" Type="http://schemas.openxmlformats.org/officeDocument/2006/relationships/hyperlink" Target="https://www.myresearchproject.org.uk/Help/HelpPage.aspx" TargetMode="External"/><Relationship Id="rId44" Type="http://schemas.openxmlformats.org/officeDocument/2006/relationships/hyperlink" Target="https://cambridgebrc.nihr.ac.uk/our-research/health-data-research-at-cuh/" TargetMode="External"/><Relationship Id="rId52" Type="http://schemas.openxmlformats.org/officeDocument/2006/relationships/hyperlink" Target="https://www.hra.nhs.uk/planning-and-improving-research/application-summaries/research-summaries/erin-ehr-research-and-innovation-database/" TargetMode="External"/><Relationship Id="rId60" Type="http://schemas.openxmlformats.org/officeDocument/2006/relationships/hyperlink" Target="https://www.digitalregulations.innovation.nhs.uk/" TargetMode="External"/><Relationship Id="rId65" Type="http://schemas.openxmlformats.org/officeDocument/2006/relationships/hyperlink" Target="https://www.hpc.cam.ac.uk/secure-research-comput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uh.research@nhs.net" TargetMode="External"/><Relationship Id="rId22" Type="http://schemas.openxmlformats.org/officeDocument/2006/relationships/hyperlink" Target="http://www.hra-decisiontools.org.uk/research/docs/DefiningResearchTable_Oct2017-1.pdf" TargetMode="External"/><Relationship Id="rId27" Type="http://schemas.openxmlformats.org/officeDocument/2006/relationships/hyperlink" Target="mailto:cuh.research@nhs.net" TargetMode="External"/><Relationship Id="rId30" Type="http://schemas.openxmlformats.org/officeDocument/2006/relationships/hyperlink" Target="https://www.myresearchproject.org.uk/help/hlpsitespecific.aspx" TargetMode="External"/><Relationship Id="rId35" Type="http://schemas.openxmlformats.org/officeDocument/2006/relationships/hyperlink" Target="mailto:cuh.rdfinance@nhs.net" TargetMode="External"/><Relationship Id="rId43" Type="http://schemas.openxmlformats.org/officeDocument/2006/relationships/hyperlink" Target="https://docs.hpc.cam.ac.uk/storage/rds/index.html" TargetMode="External"/><Relationship Id="rId48" Type="http://schemas.openxmlformats.org/officeDocument/2006/relationships/hyperlink" Target="http://merlin/Pages/Results.aspx?k=Confidentiality%20of%20Personal%20Health%20Information%20Policy" TargetMode="External"/><Relationship Id="rId56" Type="http://schemas.openxmlformats.org/officeDocument/2006/relationships/hyperlink" Target="https://ico.org.uk/for-organisations/uk-gdpr-guidance-and-resources/data-sharing/anonymisation/about-this-guidance/" TargetMode="External"/><Relationship Id="rId64" Type="http://schemas.openxmlformats.org/officeDocument/2006/relationships/hyperlink" Target="https://docs.hpc.cam.ac.uk/storage/rds/index.html" TargetMode="External"/><Relationship Id="rId69"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yperlink" Target="http://www.hra-decisiontools.org.uk/research/docs/DefiningResearchTable_Oct2017-1.pdf" TargetMode="External"/><Relationship Id="rId3" Type="http://schemas.openxmlformats.org/officeDocument/2006/relationships/styles" Target="styles.xml"/><Relationship Id="rId12" Type="http://schemas.openxmlformats.org/officeDocument/2006/relationships/image" Target="media/image20.png"/><Relationship Id="rId17" Type="http://schemas.openxmlformats.org/officeDocument/2006/relationships/hyperlink" Target="mailto:cuh.infogov@nhs.net" TargetMode="External"/><Relationship Id="rId25" Type="http://schemas.openxmlformats.org/officeDocument/2006/relationships/hyperlink" Target="mailto:cuh.patientoutcomes@nhs.net" TargetMode="External"/><Relationship Id="rId33" Type="http://schemas.openxmlformats.org/officeDocument/2006/relationships/hyperlink" Target="https://www.hra.nhs.uk/planning-and-improving-research/research-planning/protocol/" TargetMode="External"/><Relationship Id="rId38" Type="http://schemas.openxmlformats.org/officeDocument/2006/relationships/hyperlink" Target="https://assets.publishing.service.gov.uk/media/64a7d22d7a4c230013bba33c/Medical_device_stand-alone_software_including_apps__including_IVDMDs_.pdf" TargetMode="External"/><Relationship Id="rId46" Type="http://schemas.openxmlformats.org/officeDocument/2006/relationships/hyperlink" Target="https://cambridgebrc.nihr.ac.uk/our-research/health-data-research-at-cuh/" TargetMode="External"/><Relationship Id="rId59" Type="http://schemas.openxmlformats.org/officeDocument/2006/relationships/hyperlink" Target="https://assets.publishing.service.gov.uk/media/64a7d22d7a4c230013bba33c/Medical_device_stand-alone_software_including_apps__including_IVDMDs_.pdf" TargetMode="External"/><Relationship Id="rId67" Type="http://schemas.openxmlformats.org/officeDocument/2006/relationships/fontTable" Target="fontTable.xml"/><Relationship Id="rId20" Type="http://schemas.openxmlformats.org/officeDocument/2006/relationships/hyperlink" Target="mailto:Research_Governance@medschl.cam.ac.uk" TargetMode="External"/><Relationship Id="rId41" Type="http://schemas.openxmlformats.org/officeDocument/2006/relationships/hyperlink" Target="https://www.iso.org/standard/27001" TargetMode="External"/><Relationship Id="rId54" Type="http://schemas.openxmlformats.org/officeDocument/2006/relationships/hyperlink" Target="https://www.hra.nhs.uk/planning-and-improving-research/best-practice/public-involvement/" TargetMode="External"/><Relationship Id="rId62" Type="http://schemas.openxmlformats.org/officeDocument/2006/relationships/hyperlink" Target="https://www.england.nhs.uk/long-read/information-governance-and-data-protection/" TargetMode="External"/><Relationship Id="rId7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BC6D7-9178-45F7-A225-1EB2B3BD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7192</Words>
  <Characters>40998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CUH (Cambridge University Hospital)</Company>
  <LinksUpToDate>false</LinksUpToDate>
  <CharactersWithSpaces>48094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Adam</dc:creator>
  <cp:keywords/>
  <dc:description/>
  <cp:lastModifiedBy>Titarenko, Darija</cp:lastModifiedBy>
  <cp:revision>2</cp:revision>
  <cp:lastPrinted>2023-04-20T08:40:00Z</cp:lastPrinted>
  <dcterms:created xsi:type="dcterms:W3CDTF">2025-12-11T14:49:00Z</dcterms:created>
  <dcterms:modified xsi:type="dcterms:W3CDTF">2025-12-11T14:49:00Z</dcterms:modified>
</cp:coreProperties>
</file>